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Пояснительная записка</w:t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 проекту закона Белгородской области «О внесении изменения</w:t>
      </w:r>
      <w:r>
        <w:rPr>
          <w:b/>
          <w:sz w:val="26"/>
          <w:szCs w:val="26"/>
        </w:rPr>
        <w:br w:type="textWrapping" w:clear="all"/>
      </w:r>
      <w:r>
        <w:rPr>
          <w:b/>
          <w:sz w:val="26"/>
          <w:szCs w:val="26"/>
        </w:rPr>
        <w:t xml:space="preserve">в часть 4 </w:t>
      </w:r>
      <w:r>
        <w:rPr>
          <w:b/>
          <w:sz w:val="26"/>
          <w:szCs w:val="26"/>
          <w:lang w:val="ru-RU"/>
        </w:rPr>
        <w:t>статьи</w:t>
      </w:r>
      <w:r>
        <w:rPr>
          <w:rFonts w:hint="default"/>
          <w:b/>
          <w:sz w:val="26"/>
          <w:szCs w:val="26"/>
          <w:lang w:val="ru-RU"/>
        </w:rPr>
        <w:t xml:space="preserve"> 2 </w:t>
      </w:r>
      <w:r>
        <w:rPr>
          <w:b/>
          <w:sz w:val="26"/>
          <w:szCs w:val="26"/>
        </w:rPr>
        <w:t>закона Белгородской области «</w:t>
      </w:r>
      <w:r>
        <w:rPr>
          <w:rFonts w:eastAsia="Times New Roman"/>
          <w:b/>
          <w:sz w:val="26"/>
          <w:szCs w:val="26"/>
        </w:rPr>
        <w:t>О регулировании отдельных вопросов в сфере розничной продажи алкогольной продукции</w:t>
      </w:r>
      <w:r>
        <w:rPr>
          <w:b/>
          <w:sz w:val="26"/>
          <w:szCs w:val="26"/>
        </w:rPr>
        <w:t>»</w:t>
      </w:r>
    </w:p>
    <w:p>
      <w:pPr>
        <w:jc w:val="center"/>
        <w:rPr>
          <w:b/>
          <w:sz w:val="26"/>
          <w:szCs w:val="26"/>
        </w:rPr>
      </w:pPr>
    </w:p>
    <w:p>
      <w:pPr>
        <w:ind w:firstLine="567"/>
        <w:jc w:val="both"/>
        <w:rPr>
          <w:sz w:val="26"/>
          <w:szCs w:val="26"/>
        </w:rPr>
      </w:pPr>
    </w:p>
    <w:p>
      <w:pPr>
        <w:ind w:left="0" w:righ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Представленный проект закона Белгородской области подготовлен                            в целях регулирования розничной продажи алкогольной продукции в торговых объекта</w:t>
      </w:r>
      <w:bookmarkStart w:id="4" w:name="_GoBack"/>
      <w:bookmarkEnd w:id="4"/>
      <w:r>
        <w:rPr>
          <w:sz w:val="26"/>
          <w:szCs w:val="26"/>
        </w:rPr>
        <w:t>х, расположенных в многоквартирных домах (общежитиях) и (или)</w:t>
      </w:r>
      <w:r>
        <w:rPr>
          <w:sz w:val="26"/>
          <w:szCs w:val="26"/>
        </w:rPr>
        <w:br w:type="textWrapping"/>
      </w:r>
      <w:r>
        <w:rPr>
          <w:sz w:val="26"/>
          <w:szCs w:val="26"/>
        </w:rPr>
        <w:t xml:space="preserve">на прилегающих к ним территориях. </w:t>
      </w:r>
    </w:p>
    <w:p>
      <w:pPr>
        <w:ind w:left="0" w:righ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Согласно абзацу второму пункта 9 статьи 16 Федеральный закон № 171-ФЗ органы государственной власти субъектов Российской Федерации вправе устанавливать дополнительные ограничения времени, условий и мест розничной продажи алкогольной продукции, за исключением розничной продажи алкогольной продукции при оказании услуг общественного питания, если иное не установлено настоящей статьей, в том числе полный запрет на розничную продажу алкогольной продукции, за исключением розничной продажи алкогольной продукции</w:t>
      </w:r>
      <w:r>
        <w:rPr>
          <w:sz w:val="26"/>
          <w:szCs w:val="26"/>
        </w:rPr>
        <w:br w:type="textWrapping"/>
      </w:r>
      <w:r>
        <w:rPr>
          <w:sz w:val="26"/>
          <w:szCs w:val="26"/>
        </w:rPr>
        <w:t xml:space="preserve">при оказании услуг общественного питания, если иное не установлено настоящей статьей. </w:t>
      </w:r>
    </w:p>
    <w:p>
      <w:pPr>
        <w:ind w:left="0" w:righ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настоящее время частью 4 статьи 2 Закона Белгородской области </w:t>
      </w:r>
      <w:r>
        <w:rPr>
          <w:sz w:val="26"/>
          <w:szCs w:val="26"/>
        </w:rPr>
        <w:br w:type="textWrapping"/>
      </w:r>
      <w:r>
        <w:rPr>
          <w:sz w:val="26"/>
          <w:szCs w:val="26"/>
        </w:rPr>
        <w:t>от 28 апреля 2016 г. № 71 «О регулировании отдельных вопросов в сфере розничной продажи алкогольной продукции», установлено, что не допускается розничная продажа алкогольной продукции в нежилых помещениях, расположенных</w:t>
      </w:r>
      <w:r>
        <w:rPr>
          <w:sz w:val="26"/>
          <w:szCs w:val="26"/>
        </w:rPr>
        <w:br w:type="textWrapping"/>
      </w:r>
      <w:r>
        <w:rPr>
          <w:sz w:val="26"/>
          <w:szCs w:val="26"/>
        </w:rPr>
        <w:t xml:space="preserve">в многоквартирных жилых домах, в пристроенных, встроенных, встроенно-пристроенных помещениях к жилым зданиям, вход в которые для покупателей (потребителей) организован со стороны подъездов и (или) дворов с детской игровой площадкой </w:t>
      </w:r>
      <w:bookmarkStart w:id="0" w:name="_Hlk213232150"/>
      <w:r>
        <w:rPr>
          <w:sz w:val="26"/>
          <w:szCs w:val="26"/>
        </w:rPr>
        <w:t>данного жилого дома.</w:t>
      </w:r>
      <w:bookmarkEnd w:id="0"/>
    </w:p>
    <w:p>
      <w:pPr>
        <w:ind w:left="0" w:righ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С момента введения данной нормы на практике возникают ситуации,</w:t>
      </w:r>
      <w:r>
        <w:rPr>
          <w:sz w:val="26"/>
          <w:szCs w:val="26"/>
        </w:rPr>
        <w:br w:type="textWrapping"/>
      </w:r>
      <w:r>
        <w:rPr>
          <w:sz w:val="26"/>
          <w:szCs w:val="26"/>
        </w:rPr>
        <w:t xml:space="preserve">при которых вход для покупателей (потребителей) в торговые объекты, реализующие алкогольную продукцию, организован не со стороны двора с детской игровой площадкой многоквартирного жилого дома, однако, при этом </w:t>
      </w:r>
      <w:bookmarkStart w:id="1" w:name="_Hlk213252375"/>
      <w:r>
        <w:rPr>
          <w:sz w:val="26"/>
          <w:szCs w:val="26"/>
        </w:rPr>
        <w:t>детские площадки находятся в непосредственной близости к входу в такой торговый объект.</w:t>
      </w:r>
      <w:bookmarkEnd w:id="1"/>
    </w:p>
    <w:p>
      <w:pPr>
        <w:ind w:left="0" w:righ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большинстве случаев детская игровая площадка не находится во дворе -</w:t>
      </w:r>
      <w:r>
        <w:rPr>
          <w:sz w:val="26"/>
          <w:szCs w:val="26"/>
        </w:rPr>
        <w:br w:type="textWrapping"/>
      </w:r>
      <w:r>
        <w:rPr>
          <w:sz w:val="26"/>
          <w:szCs w:val="26"/>
        </w:rPr>
        <w:t xml:space="preserve">на </w:t>
      </w:r>
      <w:bookmarkStart w:id="2" w:name="_Hlk213253210"/>
      <w:r>
        <w:rPr>
          <w:sz w:val="26"/>
          <w:szCs w:val="26"/>
        </w:rPr>
        <w:t>территории, прилегающей к многоквартирному жилому дому, являющейся общим имуществом собственников помещений в данном доме с расположенными на ней объектами, предназначенными для эксплуатации таких домов, и элементами благоустройства.</w:t>
      </w:r>
      <w:bookmarkEnd w:id="2"/>
    </w:p>
    <w:p>
      <w:pPr>
        <w:ind w:left="0" w:righ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Кроме того, следует отметить, что для реализации алкогольной продукции</w:t>
      </w:r>
      <w:r>
        <w:rPr>
          <w:sz w:val="26"/>
          <w:szCs w:val="26"/>
        </w:rPr>
        <w:br w:type="textWrapping"/>
      </w:r>
      <w:r>
        <w:rPr>
          <w:sz w:val="26"/>
          <w:szCs w:val="26"/>
        </w:rPr>
        <w:t>в торговых объектах, вход в которые для покупателей (потребителей) организован</w:t>
      </w:r>
      <w:r>
        <w:rPr>
          <w:sz w:val="26"/>
          <w:szCs w:val="26"/>
        </w:rPr>
        <w:br w:type="textWrapping"/>
      </w:r>
      <w:r>
        <w:rPr>
          <w:sz w:val="26"/>
          <w:szCs w:val="26"/>
        </w:rPr>
        <w:t xml:space="preserve">со стороны подъездов данного жилого дома, собственники (арендаторы) устанавливают конструкции (входные группы), которыми </w:t>
      </w:r>
      <w:bookmarkStart w:id="3" w:name="_Hlk213254380"/>
      <w:r>
        <w:rPr>
          <w:sz w:val="26"/>
          <w:szCs w:val="26"/>
        </w:rPr>
        <w:t>изменяют сторону входа</w:t>
      </w:r>
      <w:r>
        <w:rPr>
          <w:sz w:val="26"/>
          <w:szCs w:val="26"/>
        </w:rPr>
        <w:br w:type="textWrapping"/>
      </w:r>
      <w:r>
        <w:rPr>
          <w:sz w:val="26"/>
          <w:szCs w:val="26"/>
        </w:rPr>
        <w:t>в торговый объект относительно стороны подъездов данного жилого дома</w:t>
      </w:r>
      <w:bookmarkEnd w:id="3"/>
      <w:r>
        <w:rPr>
          <w:sz w:val="26"/>
          <w:szCs w:val="26"/>
        </w:rPr>
        <w:t>.</w:t>
      </w:r>
    </w:p>
    <w:p>
      <w:pPr>
        <w:ind w:left="0" w:right="0" w:firstLine="709"/>
        <w:jc w:val="both"/>
        <w:rPr>
          <w:i/>
          <w:iCs/>
          <w:sz w:val="26"/>
          <w:szCs w:val="26"/>
        </w:rPr>
      </w:pPr>
      <w:r>
        <w:rPr>
          <w:sz w:val="26"/>
          <w:szCs w:val="26"/>
        </w:rPr>
        <w:t>Так, концепцией сокращения потребления алкоголя в Российской Федерации на период до 2030 года и на дальнейшую перспективу, утвержденной распоряжением Правительства Российской Федерации от 11 декабря 2023 г. № 3547-р, предусмотрено продолжение работы субъектов Российской Федерации, направленной на укрепление ценностей здорового образа жизни, формирование среды, способствующей сокращению потребления алкоголя, в том числе крепких спиртных напитков.</w:t>
      </w:r>
    </w:p>
    <w:p>
      <w:pPr>
        <w:ind w:left="0" w:righ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настоящее время на территории Белгородской области розничную продажу алкогольной продукции осуществляют 5105 торговых объектов, из которых:</w:t>
      </w:r>
    </w:p>
    <w:p>
      <w:pPr>
        <w:ind w:left="0" w:righ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организаций имеющих лицензию на розничную продажу алкогольной продукции - 2004 торговых объекта; </w:t>
      </w:r>
    </w:p>
    <w:p>
      <w:pPr>
        <w:ind w:left="0" w:righ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организаций и индивидуальных предпринимателей осуществляющих розничную продажу пива, пивных напитков,</w:t>
      </w:r>
      <w:r>
        <w:rPr>
          <w:color w:val="000000"/>
          <w:sz w:val="26"/>
          <w:szCs w:val="26"/>
          <w:shd w:val="clear" w:color="auto" w:fill="FFFFFF"/>
        </w:rPr>
        <w:t xml:space="preserve"> сидра, пуаре, медовухи</w:t>
      </w:r>
      <w:r>
        <w:rPr>
          <w:sz w:val="26"/>
          <w:szCs w:val="26"/>
        </w:rPr>
        <w:t xml:space="preserve"> – 3101 торговый объект. </w:t>
      </w:r>
    </w:p>
    <w:p>
      <w:pPr>
        <w:ind w:left="0" w:righ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 информации администраций муниципальных округов под предполагаемые ограничения попадаю</w:t>
      </w:r>
      <w:r>
        <w:rPr>
          <w:sz w:val="26"/>
          <w:szCs w:val="26"/>
          <w:lang w:val="ru-RU"/>
        </w:rPr>
        <w:t>т</w:t>
      </w:r>
      <w:r>
        <w:rPr>
          <w:sz w:val="26"/>
          <w:szCs w:val="26"/>
        </w:rPr>
        <w:t xml:space="preserve"> торговые объекты реализующие алкогольную</w:t>
      </w:r>
      <w:r>
        <w:rPr>
          <w:rFonts w:hint="default"/>
          <w:sz w:val="26"/>
          <w:szCs w:val="26"/>
          <w:lang w:val="ru-RU"/>
        </w:rPr>
        <w:t xml:space="preserve"> продукцию</w:t>
      </w:r>
      <w:r>
        <w:rPr>
          <w:sz w:val="26"/>
          <w:szCs w:val="26"/>
        </w:rPr>
        <w:t>:</w:t>
      </w:r>
    </w:p>
    <w:p>
      <w:pPr>
        <w:ind w:left="709" w:right="0" w:firstLine="0"/>
        <w:jc w:val="both"/>
        <w:rPr>
          <w:sz w:val="26"/>
          <w:szCs w:val="26"/>
        </w:rPr>
      </w:pPr>
      <w:r>
        <w:rPr>
          <w:sz w:val="26"/>
          <w:szCs w:val="26"/>
        </w:rPr>
        <w:t>1)  до ближайшего подъезда многоквартирного жилого дома, общежития</w:t>
      </w:r>
      <w:r>
        <w:rPr>
          <w:sz w:val="26"/>
          <w:szCs w:val="26"/>
        </w:rPr>
        <w:br w:type="textWrapping"/>
      </w:r>
      <w:r>
        <w:rPr>
          <w:sz w:val="26"/>
          <w:szCs w:val="26"/>
        </w:rPr>
        <w:t>в котором расположен торговый объект на расстоянии:</w:t>
      </w:r>
    </w:p>
    <w:p>
      <w:pPr>
        <w:ind w:left="0" w:righ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- до 30 метро</w:t>
      </w:r>
      <w:r>
        <w:rPr>
          <w:sz w:val="26"/>
          <w:szCs w:val="26"/>
          <w:lang w:val="ru-RU"/>
        </w:rPr>
        <w:t>в</w:t>
      </w:r>
      <w:r>
        <w:rPr>
          <w:sz w:val="26"/>
          <w:szCs w:val="26"/>
        </w:rPr>
        <w:t xml:space="preserve"> - 16 торговых объектов;</w:t>
      </w:r>
    </w:p>
    <w:p>
      <w:pPr>
        <w:ind w:left="0" w:right="0" w:firstLine="709"/>
        <w:jc w:val="both"/>
        <w:rPr>
          <w:rFonts w:hint="default"/>
          <w:sz w:val="26"/>
          <w:szCs w:val="26"/>
          <w:lang w:val="ru-RU"/>
        </w:rPr>
      </w:pPr>
      <w:r>
        <w:rPr>
          <w:sz w:val="26"/>
          <w:szCs w:val="26"/>
        </w:rPr>
        <w:t xml:space="preserve">- </w:t>
      </w:r>
      <w:r>
        <w:rPr>
          <w:sz w:val="26"/>
          <w:szCs w:val="26"/>
          <w:lang w:val="ru-RU"/>
        </w:rPr>
        <w:t>от</w:t>
      </w:r>
      <w:r>
        <w:rPr>
          <w:rFonts w:hint="default"/>
          <w:sz w:val="26"/>
          <w:szCs w:val="26"/>
          <w:lang w:val="ru-RU"/>
        </w:rPr>
        <w:t xml:space="preserve"> 30 </w:t>
      </w:r>
      <w:r>
        <w:rPr>
          <w:sz w:val="26"/>
          <w:szCs w:val="26"/>
        </w:rPr>
        <w:t xml:space="preserve">до 40 метров - </w:t>
      </w:r>
      <w:r>
        <w:rPr>
          <w:rFonts w:hint="default"/>
          <w:sz w:val="26"/>
          <w:szCs w:val="26"/>
          <w:lang w:val="ru-RU"/>
        </w:rPr>
        <w:t xml:space="preserve">12 </w:t>
      </w:r>
      <w:r>
        <w:rPr>
          <w:sz w:val="26"/>
          <w:szCs w:val="26"/>
        </w:rPr>
        <w:t>торговых объектов</w:t>
      </w:r>
      <w:r>
        <w:rPr>
          <w:rFonts w:hint="default"/>
          <w:sz w:val="26"/>
          <w:szCs w:val="26"/>
          <w:lang w:val="ru-RU"/>
        </w:rPr>
        <w:t>.</w:t>
      </w:r>
    </w:p>
    <w:p>
      <w:pPr>
        <w:ind w:left="0" w:righ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2) до ограждения или ближайшего элемента оборудования детской игровой (спортивной) площадки на расстоянии:</w:t>
      </w:r>
    </w:p>
    <w:p>
      <w:pPr>
        <w:ind w:left="0" w:righ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- до 30 метро</w:t>
      </w:r>
      <w:r>
        <w:rPr>
          <w:sz w:val="26"/>
          <w:szCs w:val="26"/>
          <w:lang w:val="ru-RU"/>
        </w:rPr>
        <w:t>в</w:t>
      </w:r>
      <w:r>
        <w:rPr>
          <w:sz w:val="26"/>
          <w:szCs w:val="26"/>
        </w:rPr>
        <w:t xml:space="preserve"> -  25 торговых объектов;</w:t>
      </w:r>
    </w:p>
    <w:p>
      <w:pPr>
        <w:ind w:left="0" w:right="0" w:firstLine="709"/>
        <w:jc w:val="both"/>
        <w:rPr>
          <w:rFonts w:hint="default"/>
          <w:sz w:val="26"/>
          <w:szCs w:val="26"/>
          <w:lang w:val="ru-RU"/>
        </w:rPr>
      </w:pPr>
      <w:r>
        <w:rPr>
          <w:sz w:val="26"/>
          <w:szCs w:val="26"/>
        </w:rPr>
        <w:t xml:space="preserve">- </w:t>
      </w:r>
      <w:r>
        <w:rPr>
          <w:sz w:val="26"/>
          <w:szCs w:val="26"/>
          <w:lang w:val="ru-RU"/>
        </w:rPr>
        <w:t>от</w:t>
      </w:r>
      <w:r>
        <w:rPr>
          <w:rFonts w:hint="default"/>
          <w:sz w:val="26"/>
          <w:szCs w:val="26"/>
          <w:lang w:val="ru-RU"/>
        </w:rPr>
        <w:t xml:space="preserve"> 30 </w:t>
      </w:r>
      <w:r>
        <w:rPr>
          <w:sz w:val="26"/>
          <w:szCs w:val="26"/>
        </w:rPr>
        <w:t xml:space="preserve">до 40 метров - </w:t>
      </w:r>
      <w:r>
        <w:rPr>
          <w:rFonts w:hint="default"/>
          <w:sz w:val="26"/>
          <w:szCs w:val="26"/>
          <w:lang w:val="ru-RU"/>
        </w:rPr>
        <w:t xml:space="preserve">34 </w:t>
      </w:r>
      <w:r>
        <w:rPr>
          <w:sz w:val="26"/>
          <w:szCs w:val="26"/>
        </w:rPr>
        <w:t>торговых объект</w:t>
      </w:r>
      <w:r>
        <w:rPr>
          <w:sz w:val="26"/>
          <w:szCs w:val="26"/>
          <w:lang w:val="ru-RU"/>
        </w:rPr>
        <w:t>а</w:t>
      </w:r>
      <w:r>
        <w:rPr>
          <w:rFonts w:hint="default"/>
          <w:sz w:val="26"/>
          <w:szCs w:val="26"/>
          <w:lang w:val="ru-RU"/>
        </w:rPr>
        <w:t>.</w:t>
      </w:r>
    </w:p>
    <w:p>
      <w:pPr>
        <w:ind w:left="0" w:right="0" w:firstLine="709"/>
        <w:jc w:val="both"/>
        <w:rPr>
          <w:rFonts w:hint="default"/>
          <w:sz w:val="26"/>
          <w:szCs w:val="26"/>
          <w:lang w:val="ru-RU"/>
        </w:rPr>
      </w:pPr>
      <w:r>
        <w:rPr>
          <w:rFonts w:hint="default"/>
          <w:sz w:val="26"/>
          <w:szCs w:val="26"/>
          <w:lang w:val="ru-RU"/>
        </w:rPr>
        <w:t xml:space="preserve">Всего под </w:t>
      </w:r>
      <w:r>
        <w:rPr>
          <w:sz w:val="26"/>
          <w:szCs w:val="26"/>
        </w:rPr>
        <w:t>предполагаемые ограничения попадаю</w:t>
      </w:r>
      <w:r>
        <w:rPr>
          <w:sz w:val="26"/>
          <w:szCs w:val="26"/>
          <w:lang w:val="ru-RU"/>
        </w:rPr>
        <w:t>т</w:t>
      </w:r>
      <w:r>
        <w:rPr>
          <w:sz w:val="26"/>
          <w:szCs w:val="26"/>
        </w:rPr>
        <w:t xml:space="preserve"> торговые объекты реализующие алкогольную</w:t>
      </w:r>
      <w:r>
        <w:rPr>
          <w:rFonts w:hint="default"/>
          <w:sz w:val="26"/>
          <w:szCs w:val="26"/>
          <w:lang w:val="ru-RU"/>
        </w:rPr>
        <w:t xml:space="preserve"> продукцию </w:t>
      </w:r>
      <w:r>
        <w:rPr>
          <w:sz w:val="26"/>
          <w:szCs w:val="26"/>
        </w:rPr>
        <w:t>на расстоянии</w:t>
      </w:r>
      <w:r>
        <w:rPr>
          <w:rFonts w:hint="default"/>
          <w:sz w:val="26"/>
          <w:szCs w:val="26"/>
          <w:lang w:val="ru-RU"/>
        </w:rPr>
        <w:t>:</w:t>
      </w:r>
    </w:p>
    <w:p>
      <w:pPr>
        <w:ind w:left="0" w:right="0" w:firstLine="709"/>
        <w:jc w:val="both"/>
        <w:rPr>
          <w:rFonts w:hint="default"/>
          <w:sz w:val="26"/>
          <w:szCs w:val="26"/>
          <w:lang w:val="ru-RU"/>
        </w:rPr>
      </w:pPr>
      <w:r>
        <w:rPr>
          <w:rFonts w:hint="default"/>
          <w:sz w:val="26"/>
          <w:szCs w:val="26"/>
          <w:lang w:val="ru-RU"/>
        </w:rPr>
        <w:t xml:space="preserve">-  </w:t>
      </w:r>
      <w:r>
        <w:rPr>
          <w:sz w:val="26"/>
          <w:szCs w:val="26"/>
          <w:lang w:val="ru-RU"/>
        </w:rPr>
        <w:t>до</w:t>
      </w:r>
      <w:r>
        <w:rPr>
          <w:rFonts w:hint="default"/>
          <w:sz w:val="26"/>
          <w:szCs w:val="26"/>
          <w:lang w:val="ru-RU"/>
        </w:rPr>
        <w:t xml:space="preserve"> 30 метров - 41 торговый объект;</w:t>
      </w:r>
    </w:p>
    <w:p>
      <w:pPr>
        <w:ind w:left="0" w:right="0" w:firstLine="709"/>
        <w:jc w:val="both"/>
        <w:rPr>
          <w:rFonts w:hint="default"/>
          <w:sz w:val="26"/>
          <w:szCs w:val="26"/>
          <w:lang w:val="ru-RU"/>
        </w:rPr>
      </w:pPr>
      <w:r>
        <w:rPr>
          <w:sz w:val="26"/>
          <w:szCs w:val="26"/>
        </w:rPr>
        <w:t xml:space="preserve">- </w:t>
      </w:r>
      <w:r>
        <w:rPr>
          <w:sz w:val="26"/>
          <w:szCs w:val="26"/>
          <w:lang w:val="ru-RU"/>
        </w:rPr>
        <w:t>от</w:t>
      </w:r>
      <w:r>
        <w:rPr>
          <w:rFonts w:hint="default"/>
          <w:sz w:val="26"/>
          <w:szCs w:val="26"/>
          <w:lang w:val="ru-RU"/>
        </w:rPr>
        <w:t xml:space="preserve"> 30 </w:t>
      </w:r>
      <w:r>
        <w:rPr>
          <w:sz w:val="26"/>
          <w:szCs w:val="26"/>
        </w:rPr>
        <w:t xml:space="preserve">до 40 метров - </w:t>
      </w:r>
      <w:r>
        <w:rPr>
          <w:rFonts w:hint="default"/>
          <w:sz w:val="26"/>
          <w:szCs w:val="26"/>
          <w:lang w:val="ru-RU"/>
        </w:rPr>
        <w:t xml:space="preserve">46 </w:t>
      </w:r>
      <w:r>
        <w:rPr>
          <w:sz w:val="26"/>
          <w:szCs w:val="26"/>
        </w:rPr>
        <w:t>торговых объект</w:t>
      </w:r>
      <w:r>
        <w:rPr>
          <w:sz w:val="26"/>
          <w:szCs w:val="26"/>
          <w:lang w:val="ru-RU"/>
        </w:rPr>
        <w:t>ов</w:t>
      </w:r>
      <w:r>
        <w:rPr>
          <w:rFonts w:hint="default"/>
          <w:sz w:val="26"/>
          <w:szCs w:val="26"/>
          <w:lang w:val="ru-RU"/>
        </w:rPr>
        <w:t>.</w:t>
      </w:r>
    </w:p>
    <w:p>
      <w:pPr>
        <w:ind w:left="0"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  <w:t xml:space="preserve">В целях сбалансированного регулирования участников алкогольного рынка предлагается установить среднее количество торговых объектов, подпадающих под предполагаемые ограничения, с учетом результатов проведенного анализа, а также определить минимальное расстояние, на котором запрещается розничная продажа алкогольной продукции, равное 40 метрам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(попадают </w:t>
      </w:r>
      <w:r>
        <w:rPr>
          <w:rFonts w:hint="default" w:eastAsia="Times New Roman" w:cs="Times New Roman"/>
          <w:sz w:val="26"/>
          <w:szCs w:val="26"/>
          <w:lang w:val="ru-RU"/>
        </w:rPr>
        <w:t>8</w:t>
      </w:r>
      <w:r>
        <w:rPr>
          <w:rFonts w:ascii="Times New Roman" w:hAnsi="Times New Roman" w:eastAsia="Times New Roman" w:cs="Times New Roman"/>
          <w:sz w:val="26"/>
          <w:szCs w:val="26"/>
        </w:rPr>
        <w:t>7 торговых объектов от общей численности торговых объектов осуществляющих розничную продажу алкогольной продукции на территории Белгородской области).</w:t>
      </w:r>
    </w:p>
    <w:p>
      <w:pPr>
        <w:ind w:left="0"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  <w:t>Соблюдение дистанции между алкогольным магазином и детской площадкой — это не просто формальность, а важная мера, направленная на защиту здоровья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  <w:t>и безопасности детей. Алкогольная продукция не должна быть доступна несовершеннолетним, а близкое расположение торговой точки к местам детских игр может создать условия для возникновения нежелательных ситуаций. Такие меры способствуют снижению риска вовлечения подростков в употребление спиртных напитков и помогают сформировать здоровое окружение для подрастающего поколения.</w:t>
      </w:r>
    </w:p>
    <w:p>
      <w:pPr>
        <w:ind w:left="0" w:right="0" w:firstLine="709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sz w:val="26"/>
          <w:szCs w:val="26"/>
        </w:rPr>
        <w:t xml:space="preserve">Таким образом, законопроект призван закрепить на региональном уровне положения, позволяющие установить минимальное расстояние от входа в торговый объект, расположенный в многоквартирном жилом доме, в пристроенном, встроенном, встроенно-пристроенном к нему помещении до входа в ближайший подъезд </w:t>
      </w:r>
      <w:r>
        <w:rPr>
          <w:sz w:val="26"/>
          <w:szCs w:val="26"/>
          <w:lang w:val="ru-RU"/>
        </w:rPr>
        <w:t>данного</w:t>
      </w:r>
      <w:r>
        <w:rPr>
          <w:rFonts w:hint="default"/>
          <w:sz w:val="26"/>
          <w:szCs w:val="26"/>
          <w:lang w:val="ru-RU"/>
        </w:rPr>
        <w:t xml:space="preserve"> </w:t>
      </w:r>
      <w:r>
        <w:rPr>
          <w:sz w:val="26"/>
          <w:szCs w:val="26"/>
        </w:rPr>
        <w:t>многоквартирного жилого дома (общежития)</w:t>
      </w:r>
      <w:r>
        <w:rPr>
          <w:rFonts w:hint="default"/>
          <w:sz w:val="26"/>
          <w:szCs w:val="26"/>
          <w:lang w:val="ru-RU"/>
        </w:rPr>
        <w:t xml:space="preserve">, </w:t>
      </w:r>
      <w:r>
        <w:rPr>
          <w:sz w:val="26"/>
          <w:szCs w:val="26"/>
        </w:rPr>
        <w:t xml:space="preserve">а также </w:t>
      </w:r>
      <w:r>
        <w:rPr>
          <w:rFonts w:ascii="Times New Roman" w:hAnsi="Times New Roman" w:eastAsia="Times New Roman" w:cs="Times New Roman"/>
          <w:sz w:val="26"/>
          <w:szCs w:val="26"/>
        </w:rPr>
        <w:t>до детских (спортивных) площадок независимо от их территориальной принадлежности</w:t>
      </w:r>
      <w:r>
        <w:rPr>
          <w:rFonts w:ascii="Times New Roman" w:hAnsi="Times New Roman" w:eastAsia="Times New Roman" w:cs="Times New Roman"/>
          <w:sz w:val="26"/>
          <w:szCs w:val="26"/>
        </w:rPr>
        <w:br w:type="textWrapping"/>
      </w:r>
      <w:r>
        <w:rPr>
          <w:rFonts w:ascii="Times New Roman" w:hAnsi="Times New Roman" w:eastAsia="Times New Roman" w:cs="Times New Roman"/>
          <w:sz w:val="26"/>
          <w:szCs w:val="26"/>
        </w:rPr>
        <w:t>к многоквартирному жилому дому (общежитию)</w:t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>.</w:t>
      </w:r>
    </w:p>
    <w:p>
      <w:pPr>
        <w:ind w:left="0" w:right="0" w:firstLine="709"/>
        <w:jc w:val="both"/>
        <w:rPr>
          <w:rFonts w:ascii="Times New Roman" w:hAnsi="Times New Roman" w:cs="Times New Roman"/>
          <w:b/>
          <w:bCs/>
          <w:sz w:val="26"/>
          <w:szCs w:val="26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  <w:t>Реализация представленного в законопроекта в случае его принятия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  <w:t>Соблюдение дистанции между алкогольным магазином и детской площадкой — это не просто формальность, а важная мера, направленная на защиту здоровья и безопасности детей.не повлечёт материальных затрат и не приведёт к уменьшению доходов консолидированного бюджета Белгородской области.</w:t>
      </w:r>
    </w:p>
    <w:p>
      <w:pPr>
        <w:ind w:left="0" w:right="0" w:firstLine="709"/>
        <w:jc w:val="both"/>
        <w:rPr>
          <w:sz w:val="26"/>
          <w:szCs w:val="26"/>
          <w:highlight w:val="white"/>
        </w:rPr>
      </w:pPr>
    </w:p>
    <w:sectPr>
      <w:pgSz w:w="11906" w:h="16838"/>
      <w:pgMar w:top="899" w:right="849" w:bottom="1079" w:left="156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黑体">
    <w:altName w:val="Droid Sans Fallback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SimSun">
    <w:altName w:val="Droid Sans Fallback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Trebuchet M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 Light">
    <w:altName w:val="Arial"/>
    <w:panose1 w:val="020F0502020204030204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800022EF" w:usb1="C000205A" w:usb2="00000008" w:usb3="00000000" w:csb0="20000057" w:csb1="00080000"/>
  </w:font>
  <w:font w:name="Verdana">
    <w:panose1 w:val="020B0604030504040204"/>
    <w:charset w:val="00"/>
    <w:family w:val="auto"/>
    <w:pitch w:val="default"/>
    <w:sig w:usb0="00000287" w:usb1="00000000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EB0EA9"/>
    <w:rsid w:val="AFA5930E"/>
    <w:rsid w:val="EDCFF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rPr>
      <w:rFonts w:hint="default" w:ascii="Times New Roman" w:hAnsi="Times New Roman" w:eastAsia="Calibri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229"/>
    <w:qFormat/>
    <w:uiPriority w:val="0"/>
    <w:pPr>
      <w:keepNext/>
      <w:spacing w:before="240" w:after="60"/>
      <w:outlineLvl w:val="0"/>
    </w:pPr>
    <w:rPr>
      <w:rFonts w:ascii="Calibri Light" w:hAnsi="Calibri Light" w:eastAsia="Times New Roman"/>
      <w:b/>
      <w:bCs/>
      <w:sz w:val="32"/>
      <w:szCs w:val="32"/>
    </w:rPr>
  </w:style>
  <w:style w:type="paragraph" w:styleId="3">
    <w:name w:val="heading 2"/>
    <w:basedOn w:val="1"/>
    <w:next w:val="1"/>
    <w:link w:val="224"/>
    <w:qFormat/>
    <w:uiPriority w:val="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4">
    <w:name w:val="heading 3"/>
    <w:basedOn w:val="1"/>
    <w:next w:val="1"/>
    <w:link w:val="75"/>
    <w:qFormat/>
    <w:uiPriority w:val="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4"/>
    <w:basedOn w:val="1"/>
    <w:next w:val="1"/>
    <w:link w:val="76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77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">
    <w:name w:val="heading 6"/>
    <w:basedOn w:val="1"/>
    <w:next w:val="1"/>
    <w:link w:val="78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79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80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81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unhideWhenUsed/>
    <w:qFormat/>
    <w:uiPriority w:val="99"/>
    <w:rPr>
      <w:vertAlign w:val="superscript"/>
    </w:rPr>
  </w:style>
  <w:style w:type="character" w:styleId="14">
    <w:name w:val="endnote reference"/>
    <w:semiHidden/>
    <w:unhideWhenUsed/>
    <w:qFormat/>
    <w:uiPriority w:val="99"/>
    <w:rPr>
      <w:vertAlign w:val="superscript"/>
    </w:rPr>
  </w:style>
  <w:style w:type="character" w:styleId="15">
    <w:name w:val="Hyperlink"/>
    <w:semiHidden/>
    <w:qFormat/>
    <w:uiPriority w:val="0"/>
    <w:rPr>
      <w:rFonts w:cs="Times New Roman"/>
      <w:color w:val="0000FF"/>
      <w:u w:val="single"/>
    </w:rPr>
  </w:style>
  <w:style w:type="character" w:styleId="16">
    <w:name w:val="Strong"/>
    <w:qFormat/>
    <w:uiPriority w:val="22"/>
    <w:rPr>
      <w:b/>
      <w:bCs/>
    </w:rPr>
  </w:style>
  <w:style w:type="paragraph" w:styleId="17">
    <w:name w:val="Balloon Text"/>
    <w:basedOn w:val="1"/>
    <w:link w:val="233"/>
    <w:qFormat/>
    <w:uiPriority w:val="0"/>
    <w:rPr>
      <w:rFonts w:ascii="Tahoma" w:hAnsi="Tahoma" w:cs="Tahoma"/>
      <w:sz w:val="16"/>
      <w:szCs w:val="16"/>
    </w:rPr>
  </w:style>
  <w:style w:type="paragraph" w:styleId="18">
    <w:name w:val="endnote text"/>
    <w:basedOn w:val="1"/>
    <w:link w:val="219"/>
    <w:semiHidden/>
    <w:unhideWhenUsed/>
    <w:qFormat/>
    <w:uiPriority w:val="99"/>
    <w:rPr>
      <w:sz w:val="20"/>
    </w:rPr>
  </w:style>
  <w:style w:type="paragraph" w:styleId="19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/>
      <w:sz w:val="18"/>
      <w:szCs w:val="18"/>
    </w:rPr>
  </w:style>
  <w:style w:type="paragraph" w:styleId="20">
    <w:name w:val="footnote text"/>
    <w:basedOn w:val="1"/>
    <w:link w:val="218"/>
    <w:semiHidden/>
    <w:unhideWhenUsed/>
    <w:qFormat/>
    <w:uiPriority w:val="99"/>
    <w:pPr>
      <w:spacing w:after="40"/>
    </w:pPr>
    <w:rPr>
      <w:sz w:val="18"/>
    </w:rPr>
  </w:style>
  <w:style w:type="paragraph" w:styleId="21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2">
    <w:name w:val="header"/>
    <w:basedOn w:val="1"/>
    <w:link w:val="90"/>
    <w:unhideWhenUsed/>
    <w:qFormat/>
    <w:uiPriority w:val="99"/>
    <w:pPr>
      <w:tabs>
        <w:tab w:val="center" w:pos="7143"/>
        <w:tab w:val="right" w:pos="14287"/>
      </w:tabs>
    </w:pPr>
  </w:style>
  <w:style w:type="paragraph" w:styleId="23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4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25">
    <w:name w:val="Body Text"/>
    <w:basedOn w:val="1"/>
    <w:link w:val="231"/>
    <w:qFormat/>
    <w:uiPriority w:val="0"/>
    <w:pPr>
      <w:jc w:val="both"/>
    </w:pPr>
    <w:rPr>
      <w:rFonts w:eastAsia="Times New Roman"/>
      <w:sz w:val="28"/>
      <w:szCs w:val="20"/>
    </w:rPr>
  </w:style>
  <w:style w:type="paragraph" w:styleId="26">
    <w:name w:val="toc 1"/>
    <w:basedOn w:val="1"/>
    <w:next w:val="1"/>
    <w:unhideWhenUsed/>
    <w:qFormat/>
    <w:uiPriority w:val="39"/>
    <w:pPr>
      <w:spacing w:after="57"/>
    </w:pPr>
  </w:style>
  <w:style w:type="paragraph" w:styleId="27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8">
    <w:name w:val="table of figures"/>
    <w:basedOn w:val="1"/>
    <w:next w:val="1"/>
    <w:unhideWhenUsed/>
    <w:qFormat/>
    <w:uiPriority w:val="99"/>
  </w:style>
  <w:style w:type="paragraph" w:styleId="29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30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31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32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33">
    <w:name w:val="Title"/>
    <w:basedOn w:val="1"/>
    <w:next w:val="1"/>
    <w:link w:val="84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4">
    <w:name w:val="footer"/>
    <w:basedOn w:val="1"/>
    <w:link w:val="92"/>
    <w:unhideWhenUsed/>
    <w:qFormat/>
    <w:uiPriority w:val="99"/>
    <w:pPr>
      <w:tabs>
        <w:tab w:val="center" w:pos="7143"/>
        <w:tab w:val="right" w:pos="14287"/>
      </w:tabs>
    </w:pPr>
  </w:style>
  <w:style w:type="paragraph" w:styleId="35">
    <w:name w:val="Normal (Web)"/>
    <w:basedOn w:val="1"/>
    <w:semiHidden/>
    <w:unhideWhenUsed/>
    <w:qFormat/>
    <w:uiPriority w:val="99"/>
  </w:style>
  <w:style w:type="paragraph" w:styleId="36">
    <w:name w:val="Subtitle"/>
    <w:basedOn w:val="1"/>
    <w:next w:val="1"/>
    <w:link w:val="85"/>
    <w:qFormat/>
    <w:uiPriority w:val="11"/>
    <w:pPr>
      <w:spacing w:before="200" w:after="200"/>
    </w:pPr>
  </w:style>
  <w:style w:type="table" w:styleId="37">
    <w:name w:val="Table Grid"/>
    <w:basedOn w:val="12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8">
    <w:name w:val="Heading 3 Char"/>
    <w:basedOn w:val="11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9">
    <w:name w:val="Heading 4 Char"/>
    <w:basedOn w:val="11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0">
    <w:name w:val="Heading 5 Char"/>
    <w:basedOn w:val="11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1">
    <w:name w:val="Heading 6 Char"/>
    <w:basedOn w:val="11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2">
    <w:name w:val="Heading 7 Char"/>
    <w:basedOn w:val="11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3">
    <w:name w:val="Heading 8 Char"/>
    <w:basedOn w:val="11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4">
    <w:name w:val="Heading 9 Char"/>
    <w:basedOn w:val="11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45">
    <w:name w:val="Title Char"/>
    <w:basedOn w:val="11"/>
    <w:qFormat/>
    <w:uiPriority w:val="10"/>
    <w:rPr>
      <w:sz w:val="48"/>
      <w:szCs w:val="48"/>
    </w:rPr>
  </w:style>
  <w:style w:type="character" w:customStyle="1" w:styleId="46">
    <w:name w:val="Subtitle Char"/>
    <w:basedOn w:val="11"/>
    <w:qFormat/>
    <w:uiPriority w:val="11"/>
    <w:rPr>
      <w:sz w:val="24"/>
      <w:szCs w:val="24"/>
    </w:rPr>
  </w:style>
  <w:style w:type="character" w:customStyle="1" w:styleId="47">
    <w:name w:val="Quote Char"/>
    <w:qFormat/>
    <w:uiPriority w:val="29"/>
    <w:rPr>
      <w:i/>
    </w:rPr>
  </w:style>
  <w:style w:type="character" w:customStyle="1" w:styleId="48">
    <w:name w:val="Intense Quote Char"/>
    <w:qFormat/>
    <w:uiPriority w:val="30"/>
    <w:rPr>
      <w:i/>
    </w:rPr>
  </w:style>
  <w:style w:type="character" w:customStyle="1" w:styleId="49">
    <w:name w:val="Header Char"/>
    <w:basedOn w:val="11"/>
    <w:qFormat/>
    <w:uiPriority w:val="99"/>
  </w:style>
  <w:style w:type="character" w:customStyle="1" w:styleId="50">
    <w:name w:val="Caption Char"/>
    <w:basedOn w:val="11"/>
    <w:qFormat/>
    <w:uiPriority w:val="35"/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table" w:customStyle="1" w:styleId="51">
    <w:name w:val="Plain Table 1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2">
    <w:name w:val="Plain Table 2"/>
    <w:basedOn w:val="1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3">
    <w:name w:val="Plain Table 3"/>
    <w:basedOn w:val="12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4">
    <w:name w:val="Plain Table 4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5">
    <w:name w:val="Plain Table 5"/>
    <w:basedOn w:val="12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6">
    <w:name w:val="Grid Table 1 Light"/>
    <w:basedOn w:val="12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57">
    <w:name w:val="Grid Table 2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58">
    <w:name w:val="Grid Table 3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59">
    <w:name w:val="Grid Table 4"/>
    <w:basedOn w:val="12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0">
    <w:name w:val="Grid Table 5 Dark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61">
    <w:name w:val="Grid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62">
    <w:name w:val="Grid Table 7 Colorful"/>
    <w:basedOn w:val="12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63">
    <w:name w:val="List Table 1 Light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64">
    <w:name w:val="List Table 2"/>
    <w:basedOn w:val="1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65">
    <w:name w:val="List Table 3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66">
    <w:name w:val="List Table 4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67">
    <w:name w:val="List Table 5 Dark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68">
    <w:name w:val="List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69">
    <w:name w:val="List Table 7 Colorful"/>
    <w:basedOn w:val="12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character" w:customStyle="1" w:styleId="70">
    <w:name w:val="Footnote Text Char"/>
    <w:qFormat/>
    <w:uiPriority w:val="99"/>
    <w:rPr>
      <w:sz w:val="18"/>
    </w:rPr>
  </w:style>
  <w:style w:type="character" w:customStyle="1" w:styleId="71">
    <w:name w:val="Endnote Text Char"/>
    <w:qFormat/>
    <w:uiPriority w:val="99"/>
    <w:rPr>
      <w:sz w:val="20"/>
    </w:rPr>
  </w:style>
  <w:style w:type="paragraph" w:customStyle="1" w:styleId="72">
    <w:name w:val="TOC Heading"/>
    <w:unhideWhenUsed/>
    <w:qFormat/>
    <w:uiPriority w:val="39"/>
    <w:rPr>
      <w:rFonts w:hint="default" w:ascii="Calibri" w:hAnsi="Calibri" w:eastAsia="Calibri" w:cs="Times New Roman"/>
    </w:rPr>
  </w:style>
  <w:style w:type="character" w:customStyle="1" w:styleId="73">
    <w:name w:val="Heading 1 Char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74">
    <w:name w:val="Heading 2 Char"/>
    <w:qFormat/>
    <w:uiPriority w:val="9"/>
    <w:rPr>
      <w:rFonts w:ascii="Arial" w:hAnsi="Arial" w:eastAsia="Arial" w:cs="Arial"/>
      <w:sz w:val="34"/>
    </w:rPr>
  </w:style>
  <w:style w:type="character" w:customStyle="1" w:styleId="75">
    <w:name w:val="Заголовок 3 Знак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76">
    <w:name w:val="Заголовок 4 Знак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77">
    <w:name w:val="Заголовок 5 Знак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78">
    <w:name w:val="Заголовок 6 Знак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79">
    <w:name w:val="Заголовок 7 Знак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81">
    <w:name w:val="Заголовок 9 Знак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82">
    <w:name w:val="List Paragraph"/>
    <w:basedOn w:val="1"/>
    <w:qFormat/>
    <w:uiPriority w:val="34"/>
    <w:pPr>
      <w:ind w:left="720"/>
      <w:contextualSpacing/>
    </w:pPr>
  </w:style>
  <w:style w:type="paragraph" w:styleId="83">
    <w:name w:val="No Spacing"/>
    <w:qFormat/>
    <w:uiPriority w:val="1"/>
    <w:rPr>
      <w:rFonts w:hint="default"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customStyle="1" w:styleId="84">
    <w:name w:val="Заголовок Знак"/>
    <w:link w:val="33"/>
    <w:qFormat/>
    <w:uiPriority w:val="10"/>
    <w:rPr>
      <w:sz w:val="48"/>
      <w:szCs w:val="48"/>
    </w:rPr>
  </w:style>
  <w:style w:type="character" w:customStyle="1" w:styleId="85">
    <w:name w:val="Подзаголовок Знак"/>
    <w:link w:val="36"/>
    <w:qFormat/>
    <w:uiPriority w:val="11"/>
    <w:rPr>
      <w:sz w:val="24"/>
      <w:szCs w:val="24"/>
    </w:rPr>
  </w:style>
  <w:style w:type="paragraph" w:styleId="86">
    <w:name w:val="Quote"/>
    <w:basedOn w:val="1"/>
    <w:next w:val="1"/>
    <w:link w:val="87"/>
    <w:qFormat/>
    <w:uiPriority w:val="29"/>
    <w:pPr>
      <w:ind w:left="720" w:right="720"/>
    </w:pPr>
    <w:rPr>
      <w:i/>
    </w:rPr>
  </w:style>
  <w:style w:type="character" w:customStyle="1" w:styleId="87">
    <w:name w:val="Цитата 2 Знак"/>
    <w:link w:val="86"/>
    <w:qFormat/>
    <w:uiPriority w:val="29"/>
    <w:rPr>
      <w:i/>
    </w:rPr>
  </w:style>
  <w:style w:type="paragraph" w:styleId="88">
    <w:name w:val="Intense Quote"/>
    <w:basedOn w:val="1"/>
    <w:next w:val="1"/>
    <w:link w:val="89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89">
    <w:name w:val="Выделенная цитата Знак"/>
    <w:link w:val="88"/>
    <w:qFormat/>
    <w:uiPriority w:val="30"/>
    <w:rPr>
      <w:i/>
    </w:rPr>
  </w:style>
  <w:style w:type="character" w:customStyle="1" w:styleId="90">
    <w:name w:val="Верхний колонтитул Знак"/>
    <w:link w:val="22"/>
    <w:qFormat/>
    <w:uiPriority w:val="99"/>
  </w:style>
  <w:style w:type="character" w:customStyle="1" w:styleId="91">
    <w:name w:val="Footer Char"/>
    <w:qFormat/>
    <w:uiPriority w:val="99"/>
  </w:style>
  <w:style w:type="character" w:customStyle="1" w:styleId="92">
    <w:name w:val="Нижний колонтитул Знак"/>
    <w:link w:val="34"/>
    <w:qFormat/>
    <w:uiPriority w:val="99"/>
  </w:style>
  <w:style w:type="table" w:customStyle="1" w:styleId="93">
    <w:name w:val="Table Grid Light"/>
    <w:qFormat/>
    <w:uiPriority w:val="59"/>
    <w:rPr>
      <w:lang w:eastAsia="zh-CN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">
    <w:name w:val="Таблица простая 11"/>
    <w:qFormat/>
    <w:uiPriority w:val="59"/>
    <w:rPr>
      <w:lang w:eastAsia="zh-CN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5">
    <w:name w:val="Таблица простая 21"/>
    <w:qFormat/>
    <w:uiPriority w:val="59"/>
    <w:rPr>
      <w:lang w:eastAsia="zh-CN"/>
    </w:r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6">
    <w:name w:val="Таблица простая 31"/>
    <w:qFormat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7">
    <w:name w:val="Таблица простая 41"/>
    <w:qFormat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8">
    <w:name w:val="Таблица простая 51"/>
    <w:qFormat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9">
    <w:name w:val="Таблица-сетка 1 светлая1"/>
    <w:qFormat/>
    <w:uiPriority w:val="99"/>
    <w:rPr>
      <w:lang w:eastAsia="zh-CN"/>
    </w:rPr>
    <w:tblPr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0">
    <w:name w:val="Grid Table 1 Light - Accent 1"/>
    <w:qFormat/>
    <w:uiPriority w:val="99"/>
    <w:rPr>
      <w:lang w:eastAsia="zh-CN"/>
    </w:rPr>
    <w:tblPr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1">
    <w:name w:val="Grid Table 1 Light - Accent 2"/>
    <w:qFormat/>
    <w:uiPriority w:val="99"/>
    <w:rPr>
      <w:lang w:eastAsia="zh-CN"/>
    </w:rPr>
    <w:tblPr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2">
    <w:name w:val="Grid Table 1 Light - Accent 3"/>
    <w:qFormat/>
    <w:uiPriority w:val="99"/>
    <w:rPr>
      <w:lang w:eastAsia="zh-CN"/>
    </w:rPr>
    <w:tblPr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3">
    <w:name w:val="Grid Table 1 Light - Accent 4"/>
    <w:qFormat/>
    <w:uiPriority w:val="99"/>
    <w:rPr>
      <w:lang w:eastAsia="zh-CN"/>
    </w:rPr>
    <w:tblPr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4">
    <w:name w:val="Grid Table 1 Light - Accent 5"/>
    <w:qFormat/>
    <w:uiPriority w:val="99"/>
    <w:rPr>
      <w:lang w:eastAsia="zh-CN"/>
    </w:rPr>
    <w:tblPr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5">
    <w:name w:val="Grid Table 1 Light - Accent 6"/>
    <w:qFormat/>
    <w:uiPriority w:val="99"/>
    <w:rPr>
      <w:lang w:eastAsia="zh-CN"/>
    </w:rPr>
    <w:tblP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6">
    <w:name w:val="Таблица-сетка 21"/>
    <w:qFormat/>
    <w:uiPriority w:val="99"/>
    <w:rPr>
      <w:lang w:eastAsia="zh-CN"/>
    </w:rPr>
    <w:tblPr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7">
    <w:name w:val="Grid Table 2 - Accent 1"/>
    <w:qFormat/>
    <w:uiPriority w:val="99"/>
    <w:rPr>
      <w:lang w:eastAsia="zh-CN"/>
    </w:rPr>
    <w:tblPr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8">
    <w:name w:val="Grid Table 2 - Accent 2"/>
    <w:qFormat/>
    <w:uiPriority w:val="99"/>
    <w:rPr>
      <w:lang w:eastAsia="zh-CN"/>
    </w:rPr>
    <w:tblPr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9">
    <w:name w:val="Grid Table 2 - Accent 3"/>
    <w:qFormat/>
    <w:uiPriority w:val="99"/>
    <w:rPr>
      <w:lang w:eastAsia="zh-CN"/>
    </w:rPr>
    <w:tblPr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">
    <w:name w:val="Grid Table 2 - Accent 4"/>
    <w:qFormat/>
    <w:uiPriority w:val="99"/>
    <w:rPr>
      <w:lang w:eastAsia="zh-CN"/>
    </w:rPr>
    <w:tblPr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">
    <w:name w:val="Grid Table 2 - Accent 5"/>
    <w:qFormat/>
    <w:uiPriority w:val="99"/>
    <w:rPr>
      <w:lang w:eastAsia="zh-CN"/>
    </w:rPr>
    <w:tblPr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">
    <w:name w:val="Grid Table 2 - Accent 6"/>
    <w:qFormat/>
    <w:uiPriority w:val="99"/>
    <w:rPr>
      <w:lang w:eastAsia="zh-CN"/>
    </w:rPr>
    <w:tblPr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3">
    <w:name w:val="Таблица-сетка 31"/>
    <w:qFormat/>
    <w:uiPriority w:val="99"/>
    <w:rPr>
      <w:lang w:eastAsia="zh-CN"/>
    </w:rPr>
    <w:tblPr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4">
    <w:name w:val="Grid Table 3 - Accent 1"/>
    <w:qFormat/>
    <w:uiPriority w:val="99"/>
    <w:rPr>
      <w:lang w:eastAsia="zh-CN"/>
    </w:rPr>
    <w:tblPr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5">
    <w:name w:val="Grid Table 3 - Accent 2"/>
    <w:qFormat/>
    <w:uiPriority w:val="99"/>
    <w:rPr>
      <w:lang w:eastAsia="zh-CN"/>
    </w:rPr>
    <w:tblPr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">
    <w:name w:val="Grid Table 3 - Accent 3"/>
    <w:qFormat/>
    <w:uiPriority w:val="99"/>
    <w:rPr>
      <w:lang w:eastAsia="zh-CN"/>
    </w:rPr>
    <w:tblPr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">
    <w:name w:val="Grid Table 3 - Accent 4"/>
    <w:qFormat/>
    <w:uiPriority w:val="99"/>
    <w:rPr>
      <w:lang w:eastAsia="zh-CN"/>
    </w:rPr>
    <w:tblPr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8">
    <w:name w:val="Grid Table 3 - Accent 5"/>
    <w:qFormat/>
    <w:uiPriority w:val="99"/>
    <w:rPr>
      <w:lang w:eastAsia="zh-CN"/>
    </w:rPr>
    <w:tblPr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">
    <w:name w:val="Grid Table 3 - Accent 6"/>
    <w:qFormat/>
    <w:uiPriority w:val="99"/>
    <w:rPr>
      <w:lang w:eastAsia="zh-CN"/>
    </w:rPr>
    <w:tblPr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0">
    <w:name w:val="Таблица-сетка 41"/>
    <w:qFormat/>
    <w:uiPriority w:val="59"/>
    <w:rPr>
      <w:lang w:eastAsia="zh-CN"/>
    </w:rPr>
    <w:tblPr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">
    <w:name w:val="Grid Table 4 - Accent 1"/>
    <w:qFormat/>
    <w:uiPriority w:val="59"/>
    <w:rPr>
      <w:lang w:eastAsia="zh-CN"/>
    </w:rPr>
    <w:tblPr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">
    <w:name w:val="Grid Table 4 - Accent 2"/>
    <w:qFormat/>
    <w:uiPriority w:val="59"/>
    <w:rPr>
      <w:lang w:eastAsia="zh-CN"/>
    </w:rPr>
    <w:tblPr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3">
    <w:name w:val="Grid Table 4 - Accent 3"/>
    <w:qFormat/>
    <w:uiPriority w:val="59"/>
    <w:rPr>
      <w:lang w:eastAsia="zh-CN"/>
    </w:rPr>
    <w:tblPr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4">
    <w:name w:val="Grid Table 4 - Accent 4"/>
    <w:qFormat/>
    <w:uiPriority w:val="59"/>
    <w:rPr>
      <w:lang w:eastAsia="zh-CN"/>
    </w:rPr>
    <w:tblPr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5">
    <w:name w:val="Grid Table 4 - Accent 5"/>
    <w:qFormat/>
    <w:uiPriority w:val="59"/>
    <w:rPr>
      <w:lang w:eastAsia="zh-CN"/>
    </w:rPr>
    <w:tblPr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6">
    <w:name w:val="Grid Table 4 - Accent 6"/>
    <w:qFormat/>
    <w:uiPriority w:val="59"/>
    <w:rPr>
      <w:lang w:eastAsia="zh-CN"/>
    </w:rPr>
    <w:tblPr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7">
    <w:name w:val="Таблица-сетка 5 темная1"/>
    <w:qFormat/>
    <w:uiPriority w:val="99"/>
    <w:rPr>
      <w:lang w:eastAsia="zh-CN"/>
    </w:r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8">
    <w:name w:val="Grid Table 5 Dark- Accent 1"/>
    <w:qFormat/>
    <w:uiPriority w:val="99"/>
    <w:rPr>
      <w:lang w:eastAsia="zh-CN"/>
    </w:r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9">
    <w:name w:val="Grid Table 5 Dark - Accent 2"/>
    <w:qFormat/>
    <w:uiPriority w:val="99"/>
    <w:rPr>
      <w:lang w:eastAsia="zh-CN"/>
    </w:r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Grid Table 5 Dark - Accent 3"/>
    <w:qFormat/>
    <w:uiPriority w:val="99"/>
    <w:rPr>
      <w:lang w:eastAsia="zh-CN"/>
    </w:r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">
    <w:name w:val="Grid Table 5 Dark- Accent 4"/>
    <w:qFormat/>
    <w:uiPriority w:val="99"/>
    <w:rPr>
      <w:lang w:eastAsia="zh-CN"/>
    </w:r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">
    <w:name w:val="Grid Table 5 Dark - Accent 5"/>
    <w:qFormat/>
    <w:uiPriority w:val="99"/>
    <w:rPr>
      <w:lang w:eastAsia="zh-CN"/>
    </w:r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">
    <w:name w:val="Grid Table 5 Dark - Accent 6"/>
    <w:qFormat/>
    <w:uiPriority w:val="99"/>
    <w:rPr>
      <w:lang w:eastAsia="zh-CN"/>
    </w:r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4">
    <w:name w:val="Таблица-сетка 6 цветная1"/>
    <w:qFormat/>
    <w:uiPriority w:val="99"/>
    <w:rPr>
      <w:lang w:eastAsia="zh-CN"/>
    </w:rPr>
    <w:tblPr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5">
    <w:name w:val="Grid Table 6 Colorful - Accent 1"/>
    <w:qFormat/>
    <w:uiPriority w:val="99"/>
    <w:rPr>
      <w:lang w:eastAsia="zh-CN"/>
    </w:rPr>
    <w:tblPr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6">
    <w:name w:val="Grid Table 6 Colorful - Accent 2"/>
    <w:qFormat/>
    <w:uiPriority w:val="99"/>
    <w:rPr>
      <w:lang w:eastAsia="zh-CN"/>
    </w:rPr>
    <w:tblPr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7">
    <w:name w:val="Grid Table 6 Colorful - Accent 3"/>
    <w:qFormat/>
    <w:uiPriority w:val="99"/>
    <w:rPr>
      <w:lang w:eastAsia="zh-CN"/>
    </w:rPr>
    <w:tblPr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8">
    <w:name w:val="Grid Table 6 Colorful - Accent 4"/>
    <w:qFormat/>
    <w:uiPriority w:val="99"/>
    <w:rPr>
      <w:lang w:eastAsia="zh-CN"/>
    </w:rPr>
    <w:tblPr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9">
    <w:name w:val="Grid Table 6 Colorful - Accent 5"/>
    <w:qFormat/>
    <w:uiPriority w:val="99"/>
    <w:rPr>
      <w:lang w:eastAsia="zh-CN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0">
    <w:name w:val="Grid Table 6 Colorful - Accent 6"/>
    <w:qFormat/>
    <w:uiPriority w:val="99"/>
    <w:rPr>
      <w:lang w:eastAsia="zh-CN"/>
    </w:rPr>
    <w:tblPr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">
    <w:name w:val="Таблица-сетка 7 цветная1"/>
    <w:qFormat/>
    <w:uiPriority w:val="99"/>
    <w:rPr>
      <w:lang w:eastAsia="zh-CN"/>
    </w:rPr>
    <w:tblPr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">
    <w:name w:val="Grid Table 7 Colorful - Accent 1"/>
    <w:qFormat/>
    <w:uiPriority w:val="99"/>
    <w:rPr>
      <w:lang w:eastAsia="zh-CN"/>
    </w:rPr>
    <w:tblPr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">
    <w:name w:val="Grid Table 7 Colorful - Accent 2"/>
    <w:qFormat/>
    <w:uiPriority w:val="99"/>
    <w:rPr>
      <w:lang w:eastAsia="zh-CN"/>
    </w:rPr>
    <w:tblPr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4">
    <w:name w:val="Grid Table 7 Colorful - Accent 3"/>
    <w:qFormat/>
    <w:uiPriority w:val="99"/>
    <w:rPr>
      <w:lang w:eastAsia="zh-CN"/>
    </w:rPr>
    <w:tblPr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5">
    <w:name w:val="Grid Table 7 Colorful - Accent 4"/>
    <w:qFormat/>
    <w:uiPriority w:val="99"/>
    <w:rPr>
      <w:lang w:eastAsia="zh-CN"/>
    </w:rPr>
    <w:tblPr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6">
    <w:name w:val="Grid Table 7 Colorful - Accent 5"/>
    <w:qFormat/>
    <w:uiPriority w:val="99"/>
    <w:rPr>
      <w:lang w:eastAsia="zh-CN"/>
    </w:rPr>
    <w:tblPr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7">
    <w:name w:val="Grid Table 7 Colorful - Accent 6"/>
    <w:qFormat/>
    <w:uiPriority w:val="99"/>
    <w:rPr>
      <w:lang w:eastAsia="zh-CN"/>
    </w:rPr>
    <w:tblPr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8">
    <w:name w:val="Список-таблица 1 светлая1"/>
    <w:qFormat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9">
    <w:name w:val="List Table 1 Light - Accent 1"/>
    <w:qFormat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0">
    <w:name w:val="List Table 1 Light - Accent 2"/>
    <w:qFormat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">
    <w:name w:val="List Table 1 Light - Accent 3"/>
    <w:qFormat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">
    <w:name w:val="List Table 1 Light - Accent 4"/>
    <w:qFormat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3">
    <w:name w:val="List Table 1 Light - Accent 5"/>
    <w:qFormat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4">
    <w:name w:val="List Table 1 Light - Accent 6"/>
    <w:qFormat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5">
    <w:name w:val="Список-таблица 21"/>
    <w:qFormat/>
    <w:uiPriority w:val="99"/>
    <w:rPr>
      <w:lang w:eastAsia="zh-CN"/>
    </w:rPr>
    <w:tblPr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6">
    <w:name w:val="List Table 2 - Accent 1"/>
    <w:qFormat/>
    <w:uiPriority w:val="99"/>
    <w:rPr>
      <w:lang w:eastAsia="zh-CN"/>
    </w:rPr>
    <w:tblPr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7">
    <w:name w:val="List Table 2 - Accent 2"/>
    <w:qFormat/>
    <w:uiPriority w:val="99"/>
    <w:rPr>
      <w:lang w:eastAsia="zh-CN"/>
    </w:rPr>
    <w:tblPr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8">
    <w:name w:val="List Table 2 - Accent 3"/>
    <w:qFormat/>
    <w:uiPriority w:val="99"/>
    <w:rPr>
      <w:lang w:eastAsia="zh-CN"/>
    </w:rPr>
    <w:tblPr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9">
    <w:name w:val="List Table 2 - Accent 4"/>
    <w:qFormat/>
    <w:uiPriority w:val="99"/>
    <w:rPr>
      <w:lang w:eastAsia="zh-CN"/>
    </w:rPr>
    <w:tblPr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0">
    <w:name w:val="List Table 2 - Accent 5"/>
    <w:qFormat/>
    <w:uiPriority w:val="99"/>
    <w:rPr>
      <w:lang w:eastAsia="zh-CN"/>
    </w:rPr>
    <w:tblPr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1">
    <w:name w:val="List Table 2 - Accent 6"/>
    <w:qFormat/>
    <w:uiPriority w:val="99"/>
    <w:rPr>
      <w:lang w:eastAsia="zh-CN"/>
    </w:rPr>
    <w:tblPr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2">
    <w:name w:val="Список-таблица 31"/>
    <w:qFormat/>
    <w:uiPriority w:val="99"/>
    <w:rPr>
      <w:lang w:eastAsia="zh-C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3">
    <w:name w:val="List Table 3 - Accent 1"/>
    <w:qFormat/>
    <w:uiPriority w:val="99"/>
    <w:rPr>
      <w:lang w:eastAsia="zh-CN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4">
    <w:name w:val="List Table 3 - Accent 2"/>
    <w:qFormat/>
    <w:uiPriority w:val="99"/>
    <w:rPr>
      <w:lang w:eastAsia="zh-CN"/>
    </w:rPr>
    <w:tblPr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5">
    <w:name w:val="List Table 3 - Accent 3"/>
    <w:qFormat/>
    <w:uiPriority w:val="99"/>
    <w:rPr>
      <w:lang w:eastAsia="zh-CN"/>
    </w:rPr>
    <w:tblPr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6">
    <w:name w:val="List Table 3 - Accent 4"/>
    <w:qFormat/>
    <w:uiPriority w:val="99"/>
    <w:rPr>
      <w:lang w:eastAsia="zh-CN"/>
    </w:rPr>
    <w:tblPr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7">
    <w:name w:val="List Table 3 - Accent 5"/>
    <w:qFormat/>
    <w:uiPriority w:val="99"/>
    <w:rPr>
      <w:lang w:eastAsia="zh-CN"/>
    </w:rPr>
    <w:tblPr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8">
    <w:name w:val="List Table 3 - Accent 6"/>
    <w:qFormat/>
    <w:uiPriority w:val="99"/>
    <w:rPr>
      <w:lang w:eastAsia="zh-CN"/>
    </w:rPr>
    <w:tblPr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9">
    <w:name w:val="Список-таблица 41"/>
    <w:qFormat/>
    <w:uiPriority w:val="99"/>
    <w:rPr>
      <w:lang w:eastAsia="zh-C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0">
    <w:name w:val="List Table 4 - Accent 1"/>
    <w:qFormat/>
    <w:uiPriority w:val="99"/>
    <w:rPr>
      <w:lang w:eastAsia="zh-CN"/>
    </w:rPr>
    <w:tblPr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1">
    <w:name w:val="List Table 4 - Accent 2"/>
    <w:qFormat/>
    <w:uiPriority w:val="99"/>
    <w:rPr>
      <w:lang w:eastAsia="zh-CN"/>
    </w:rPr>
    <w:tblPr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2">
    <w:name w:val="List Table 4 - Accent 3"/>
    <w:qFormat/>
    <w:uiPriority w:val="99"/>
    <w:rPr>
      <w:lang w:eastAsia="zh-CN"/>
    </w:rPr>
    <w:tblPr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3">
    <w:name w:val="List Table 4 - Accent 4"/>
    <w:qFormat/>
    <w:uiPriority w:val="99"/>
    <w:rPr>
      <w:lang w:eastAsia="zh-CN"/>
    </w:rPr>
    <w:tblPr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4">
    <w:name w:val="List Table 4 - Accent 5"/>
    <w:qFormat/>
    <w:uiPriority w:val="99"/>
    <w:rPr>
      <w:lang w:eastAsia="zh-CN"/>
    </w:rPr>
    <w:tblPr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5">
    <w:name w:val="List Table 4 - Accent 6"/>
    <w:qFormat/>
    <w:uiPriority w:val="99"/>
    <w:rPr>
      <w:lang w:eastAsia="zh-CN"/>
    </w:rPr>
    <w:tblPr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6">
    <w:name w:val="Список-таблица 5 темная1"/>
    <w:qFormat/>
    <w:uiPriority w:val="99"/>
    <w:rPr>
      <w:lang w:eastAsia="zh-CN"/>
    </w:rPr>
    <w:tblPr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7">
    <w:name w:val="List Table 5 Dark - Accent 1"/>
    <w:qFormat/>
    <w:uiPriority w:val="99"/>
    <w:rPr>
      <w:lang w:eastAsia="zh-CN"/>
    </w:rPr>
    <w:tblPr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8">
    <w:name w:val="List Table 5 Dark - Accent 2"/>
    <w:qFormat/>
    <w:uiPriority w:val="99"/>
    <w:rPr>
      <w:lang w:eastAsia="zh-CN"/>
    </w:rPr>
    <w:tblPr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9">
    <w:name w:val="List Table 5 Dark - Accent 3"/>
    <w:qFormat/>
    <w:uiPriority w:val="99"/>
    <w:rPr>
      <w:lang w:eastAsia="zh-CN"/>
    </w:rPr>
    <w:tblPr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0">
    <w:name w:val="List Table 5 Dark - Accent 4"/>
    <w:qFormat/>
    <w:uiPriority w:val="99"/>
    <w:rPr>
      <w:lang w:eastAsia="zh-CN"/>
    </w:rPr>
    <w:tblPr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1">
    <w:name w:val="List Table 5 Dark - Accent 5"/>
    <w:qFormat/>
    <w:uiPriority w:val="99"/>
    <w:rPr>
      <w:lang w:eastAsia="zh-CN"/>
    </w:rPr>
    <w:tblPr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2">
    <w:name w:val="List Table 5 Dark - Accent 6"/>
    <w:qFormat/>
    <w:uiPriority w:val="99"/>
    <w:rPr>
      <w:lang w:eastAsia="zh-CN"/>
    </w:rPr>
    <w:tblPr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3">
    <w:name w:val="Список-таблица 6 цветная1"/>
    <w:qFormat/>
    <w:uiPriority w:val="99"/>
    <w:rPr>
      <w:lang w:eastAsia="zh-CN"/>
    </w:rPr>
    <w:tblPr>
      <w:tblBorders>
        <w:top w:val="single" w:color="7F7F7F" w:sz="4" w:space="0"/>
        <w:bottom w:val="single" w:color="7F7F7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4">
    <w:name w:val="List Table 6 Colorful - Accent 1"/>
    <w:qFormat/>
    <w:uiPriority w:val="99"/>
    <w:rPr>
      <w:lang w:eastAsia="zh-CN"/>
    </w:rPr>
    <w:tblPr>
      <w:tblBorders>
        <w:top w:val="single" w:color="4F81BD" w:sz="4" w:space="0"/>
        <w:bottom w:val="single" w:color="4F81B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5">
    <w:name w:val="List Table 6 Colorful - Accent 2"/>
    <w:qFormat/>
    <w:uiPriority w:val="99"/>
    <w:rPr>
      <w:lang w:eastAsia="zh-CN"/>
    </w:rPr>
    <w:tblPr>
      <w:tblBorders>
        <w:top w:val="single" w:color="D99695" w:sz="4" w:space="0"/>
        <w:bottom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6">
    <w:name w:val="List Table 6 Colorful - Accent 3"/>
    <w:qFormat/>
    <w:uiPriority w:val="99"/>
    <w:rPr>
      <w:lang w:eastAsia="zh-CN"/>
    </w:rPr>
    <w:tblPr>
      <w:tblBorders>
        <w:top w:val="single" w:color="C3D69B" w:sz="4" w:space="0"/>
        <w:bottom w:val="single" w:color="C3D69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7">
    <w:name w:val="List Table 6 Colorful - Accent 4"/>
    <w:qFormat/>
    <w:uiPriority w:val="99"/>
    <w:rPr>
      <w:lang w:eastAsia="zh-CN"/>
    </w:rPr>
    <w:tblPr>
      <w:tblBorders>
        <w:top w:val="single" w:color="B2A1C6" w:sz="4" w:space="0"/>
        <w:bottom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8">
    <w:name w:val="List Table 6 Colorful - Accent 5"/>
    <w:qFormat/>
    <w:uiPriority w:val="99"/>
    <w:rPr>
      <w:lang w:eastAsia="zh-CN"/>
    </w:rPr>
    <w:tblPr>
      <w:tblBorders>
        <w:top w:val="single" w:color="92CCDC" w:sz="4" w:space="0"/>
        <w:bottom w:val="single" w:color="92CCDC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9">
    <w:name w:val="List Table 6 Colorful - Accent 6"/>
    <w:qFormat/>
    <w:uiPriority w:val="99"/>
    <w:rPr>
      <w:lang w:eastAsia="zh-CN"/>
    </w:rPr>
    <w:tblPr>
      <w:tblBorders>
        <w:top w:val="single" w:color="FAC090" w:sz="4" w:space="0"/>
        <w:bottom w:val="single" w:color="FAC09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0">
    <w:name w:val="Список-таблица 7 цветная1"/>
    <w:qFormat/>
    <w:uiPriority w:val="99"/>
    <w:rPr>
      <w:lang w:eastAsia="zh-CN"/>
    </w:rPr>
    <w:tblPr>
      <w:tblBorders>
        <w:right w:val="single" w:color="7F7F7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1">
    <w:name w:val="List Table 7 Colorful - Accent 1"/>
    <w:qFormat/>
    <w:uiPriority w:val="99"/>
    <w:rPr>
      <w:lang w:eastAsia="zh-CN"/>
    </w:rPr>
    <w:tblPr>
      <w:tblBorders>
        <w:right w:val="single" w:color="4F81B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2">
    <w:name w:val="List Table 7 Colorful - Accent 2"/>
    <w:qFormat/>
    <w:uiPriority w:val="99"/>
    <w:rPr>
      <w:lang w:eastAsia="zh-CN"/>
    </w:rPr>
    <w:tblPr>
      <w:tblBorders>
        <w:right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3">
    <w:name w:val="List Table 7 Colorful - Accent 3"/>
    <w:qFormat/>
    <w:uiPriority w:val="99"/>
    <w:rPr>
      <w:lang w:eastAsia="zh-CN"/>
    </w:rPr>
    <w:tblPr>
      <w:tblBorders>
        <w:right w:val="single" w:color="C3D69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4">
    <w:name w:val="List Table 7 Colorful - Accent 4"/>
    <w:qFormat/>
    <w:uiPriority w:val="99"/>
    <w:rPr>
      <w:lang w:eastAsia="zh-CN"/>
    </w:rPr>
    <w:tblPr>
      <w:tblBorders>
        <w:right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5">
    <w:name w:val="List Table 7 Colorful - Accent 5"/>
    <w:qFormat/>
    <w:uiPriority w:val="99"/>
    <w:rPr>
      <w:lang w:eastAsia="zh-CN"/>
    </w:rPr>
    <w:tblPr>
      <w:tblBorders>
        <w:right w:val="single" w:color="92CCDC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6">
    <w:name w:val="List Table 7 Colorful - Accent 6"/>
    <w:qFormat/>
    <w:uiPriority w:val="99"/>
    <w:rPr>
      <w:lang w:eastAsia="zh-CN"/>
    </w:rPr>
    <w:tblPr>
      <w:tblBorders>
        <w:right w:val="single" w:color="FAC09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7">
    <w:name w:val="Lined - Accent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8">
    <w:name w:val="Lined - Accent 1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9">
    <w:name w:val="Lined - Accent 2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0">
    <w:name w:val="Lined - Accent 3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1">
    <w:name w:val="Lined - Accent 4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2">
    <w:name w:val="Lined - Accent 5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3">
    <w:name w:val="Lined - Accent 6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4">
    <w:name w:val="Bordered &amp; Lined - Accent"/>
    <w:qFormat/>
    <w:uiPriority w:val="99"/>
    <w:rPr>
      <w:color w:val="404040"/>
    </w:rPr>
    <w:tblPr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5">
    <w:name w:val="Bordered &amp; Lined - Accent 1"/>
    <w:qFormat/>
    <w:uiPriority w:val="99"/>
    <w:rPr>
      <w:color w:val="404040"/>
    </w:rPr>
    <w:tblPr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6">
    <w:name w:val="Bordered &amp; Lined - Accent 2"/>
    <w:qFormat/>
    <w:uiPriority w:val="99"/>
    <w:rPr>
      <w:color w:val="404040"/>
    </w:rPr>
    <w:tblPr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7">
    <w:name w:val="Bordered &amp; Lined - Accent 3"/>
    <w:qFormat/>
    <w:uiPriority w:val="99"/>
    <w:rPr>
      <w:color w:val="404040"/>
    </w:rPr>
    <w:tblPr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8">
    <w:name w:val="Bordered &amp; Lined - Accent 4"/>
    <w:qFormat/>
    <w:uiPriority w:val="99"/>
    <w:rPr>
      <w:color w:val="404040"/>
    </w:rPr>
    <w:tblPr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9">
    <w:name w:val="Bordered &amp; Lined - Accent 5"/>
    <w:qFormat/>
    <w:uiPriority w:val="99"/>
    <w:rPr>
      <w:color w:val="404040"/>
    </w:rPr>
    <w:tblPr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0">
    <w:name w:val="Bordered &amp; Lined - Accent 6"/>
    <w:qFormat/>
    <w:uiPriority w:val="99"/>
    <w:rPr>
      <w:color w:val="404040"/>
    </w:rPr>
    <w:tblPr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1">
    <w:name w:val="Bordered"/>
    <w:qFormat/>
    <w:uiPriority w:val="99"/>
    <w:rPr>
      <w:lang w:eastAsia="zh-CN"/>
    </w:rPr>
    <w:tblPr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">
    <w:name w:val="Bordered - Accent 1"/>
    <w:qFormat/>
    <w:uiPriority w:val="99"/>
    <w:rPr>
      <w:lang w:eastAsia="zh-CN"/>
    </w:rPr>
    <w:tblPr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3">
    <w:name w:val="Bordered - Accent 2"/>
    <w:qFormat/>
    <w:uiPriority w:val="99"/>
    <w:rPr>
      <w:lang w:eastAsia="zh-CN"/>
    </w:rPr>
    <w:tblPr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4">
    <w:name w:val="Bordered - Accent 3"/>
    <w:qFormat/>
    <w:uiPriority w:val="99"/>
    <w:rPr>
      <w:lang w:eastAsia="zh-CN"/>
    </w:rPr>
    <w:tblPr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5">
    <w:name w:val="Bordered - Accent 4"/>
    <w:qFormat/>
    <w:uiPriority w:val="99"/>
    <w:rPr>
      <w:lang w:eastAsia="zh-CN"/>
    </w:rPr>
    <w:tblPr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6">
    <w:name w:val="Bordered - Accent 5"/>
    <w:qFormat/>
    <w:uiPriority w:val="99"/>
    <w:rPr>
      <w:lang w:eastAsia="zh-CN"/>
    </w:rPr>
    <w:tblPr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7">
    <w:name w:val="Bordered - Accent 6"/>
    <w:qFormat/>
    <w:uiPriority w:val="99"/>
    <w:rPr>
      <w:lang w:eastAsia="zh-CN"/>
    </w:rPr>
    <w:tblP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8">
    <w:name w:val="Текст сноски Знак"/>
    <w:link w:val="20"/>
    <w:qFormat/>
    <w:uiPriority w:val="99"/>
    <w:rPr>
      <w:sz w:val="18"/>
    </w:rPr>
  </w:style>
  <w:style w:type="character" w:customStyle="1" w:styleId="219">
    <w:name w:val="Текст концевой сноски Знак"/>
    <w:link w:val="18"/>
    <w:qFormat/>
    <w:uiPriority w:val="99"/>
    <w:rPr>
      <w:sz w:val="20"/>
    </w:rPr>
  </w:style>
  <w:style w:type="paragraph" w:customStyle="1" w:styleId="220">
    <w:name w:val="Заголовок оглавления1"/>
    <w:unhideWhenUsed/>
    <w:qFormat/>
    <w:uiPriority w:val="39"/>
    <w:rPr>
      <w:rFonts w:hint="default" w:ascii="Calibri" w:hAnsi="Calibri" w:eastAsia="Calibri" w:cs="Times New Roman"/>
      <w:lang w:val="ru-RU" w:eastAsia="zh-CN" w:bidi="ar-SA"/>
    </w:rPr>
  </w:style>
  <w:style w:type="character" w:customStyle="1" w:styleId="221">
    <w:name w:val="Основной шрифт абзаца;Знак Знак1"/>
    <w:link w:val="222"/>
    <w:semiHidden/>
    <w:qFormat/>
    <w:uiPriority w:val="0"/>
  </w:style>
  <w:style w:type="paragraph" w:customStyle="1" w:styleId="222">
    <w:name w:val="1"/>
    <w:basedOn w:val="1"/>
    <w:link w:val="221"/>
    <w:qFormat/>
    <w:uiPriority w:val="0"/>
    <w:pPr>
      <w:spacing w:after="160" w:line="240" w:lineRule="exact"/>
    </w:pPr>
    <w:rPr>
      <w:rFonts w:ascii="Verdana" w:hAnsi="Verdana" w:eastAsia="Times New Roman"/>
      <w:sz w:val="20"/>
      <w:szCs w:val="20"/>
      <w:lang w:val="en-US" w:eastAsia="en-US"/>
    </w:rPr>
  </w:style>
  <w:style w:type="paragraph" w:customStyle="1" w:styleId="223">
    <w:name w:val="Обычный (веб)1"/>
    <w:basedOn w:val="1"/>
    <w:qFormat/>
    <w:uiPriority w:val="99"/>
    <w:pPr>
      <w:spacing w:before="100" w:beforeAutospacing="1" w:after="100" w:afterAutospacing="1"/>
    </w:pPr>
  </w:style>
  <w:style w:type="character" w:customStyle="1" w:styleId="224">
    <w:name w:val="Заголовок 2 Знак"/>
    <w:link w:val="3"/>
    <w:qFormat/>
    <w:uiPriority w:val="0"/>
    <w:rPr>
      <w:rFonts w:ascii="Times New Roman" w:hAnsi="Times New Roman" w:cs="Times New Roman"/>
      <w:b/>
      <w:bCs/>
      <w:sz w:val="36"/>
      <w:szCs w:val="36"/>
      <w:lang w:val="en-US" w:eastAsia="ru-RU"/>
    </w:rPr>
  </w:style>
  <w:style w:type="paragraph" w:customStyle="1" w:styleId="225">
    <w:name w:val="formattext topleveltext"/>
    <w:basedOn w:val="1"/>
    <w:qFormat/>
    <w:uiPriority w:val="0"/>
    <w:pPr>
      <w:spacing w:before="100" w:beforeAutospacing="1" w:after="100" w:afterAutospacing="1"/>
    </w:pPr>
    <w:rPr>
      <w:rFonts w:eastAsia="Times New Roman"/>
    </w:rPr>
  </w:style>
  <w:style w:type="paragraph" w:customStyle="1" w:styleId="226">
    <w:name w:val="formattext topleveltext centertext"/>
    <w:basedOn w:val="1"/>
    <w:qFormat/>
    <w:uiPriority w:val="0"/>
    <w:pPr>
      <w:spacing w:before="100" w:beforeAutospacing="1" w:after="100" w:afterAutospacing="1"/>
    </w:pPr>
    <w:rPr>
      <w:rFonts w:eastAsia="Times New Roman"/>
    </w:rPr>
  </w:style>
  <w:style w:type="paragraph" w:customStyle="1" w:styleId="227">
    <w:name w:val="ConsPlusNormal"/>
    <w:qFormat/>
    <w:uiPriority w:val="0"/>
    <w:pPr>
      <w:widowControl w:val="0"/>
      <w:ind w:firstLine="720"/>
    </w:pPr>
    <w:rPr>
      <w:rFonts w:hint="default" w:ascii="Arial" w:hAnsi="Arial" w:eastAsia="Times New Roman" w:cs="Arial"/>
      <w:lang w:val="ru-RU" w:eastAsia="ru-RU" w:bidi="ar-SA"/>
    </w:rPr>
  </w:style>
  <w:style w:type="paragraph" w:customStyle="1" w:styleId="228">
    <w:name w:val="Heading"/>
    <w:qFormat/>
    <w:uiPriority w:val="99"/>
    <w:rPr>
      <w:rFonts w:hint="default" w:ascii="Arial" w:hAnsi="Arial" w:eastAsia="Times New Roman" w:cs="Arial"/>
      <w:b/>
      <w:bCs/>
      <w:sz w:val="22"/>
      <w:szCs w:val="22"/>
      <w:lang w:val="ru-RU" w:eastAsia="ru-RU" w:bidi="ar-SA"/>
    </w:rPr>
  </w:style>
  <w:style w:type="character" w:customStyle="1" w:styleId="229">
    <w:name w:val="Заголовок 1 Знак"/>
    <w:link w:val="2"/>
    <w:qFormat/>
    <w:uiPriority w:val="0"/>
    <w:rPr>
      <w:rFonts w:ascii="Calibri Light" w:hAnsi="Calibri Light" w:eastAsia="Times New Roman" w:cs="Times New Roman"/>
      <w:b/>
      <w:bCs/>
      <w:sz w:val="32"/>
      <w:szCs w:val="32"/>
    </w:rPr>
  </w:style>
  <w:style w:type="paragraph" w:customStyle="1" w:styleId="230">
    <w:name w:val="increase_text"/>
    <w:basedOn w:val="1"/>
    <w:qFormat/>
    <w:uiPriority w:val="0"/>
    <w:pPr>
      <w:spacing w:before="100" w:beforeAutospacing="1" w:after="100" w:afterAutospacing="1"/>
    </w:pPr>
    <w:rPr>
      <w:rFonts w:eastAsia="Times New Roman"/>
    </w:rPr>
  </w:style>
  <w:style w:type="character" w:customStyle="1" w:styleId="231">
    <w:name w:val="Основной текст Знак"/>
    <w:link w:val="25"/>
    <w:qFormat/>
    <w:uiPriority w:val="0"/>
    <w:rPr>
      <w:rFonts w:ascii="Times New Roman" w:hAnsi="Times New Roman" w:eastAsia="Times New Roman"/>
      <w:sz w:val="28"/>
    </w:rPr>
  </w:style>
  <w:style w:type="character" w:customStyle="1" w:styleId="232">
    <w:name w:val="serp-url__item"/>
    <w:qFormat/>
    <w:uiPriority w:val="0"/>
  </w:style>
  <w:style w:type="character" w:customStyle="1" w:styleId="233">
    <w:name w:val="Текст выноски Знак"/>
    <w:link w:val="17"/>
    <w:qFormat/>
    <w:uiPriority w:val="0"/>
    <w:rPr>
      <w:rFonts w:ascii="Tahoma" w:hAnsi="Tahoma" w:cs="Tahoma"/>
      <w:sz w:val="16"/>
      <w:szCs w:val="16"/>
    </w:rPr>
  </w:style>
  <w:style w:type="paragraph" w:customStyle="1" w:styleId="234">
    <w:name w:val="ConsPlusTitle"/>
    <w:qFormat/>
    <w:uiPriority w:val="0"/>
    <w:pPr>
      <w:widowControl w:val="0"/>
    </w:pPr>
    <w:rPr>
      <w:rFonts w:hint="default" w:ascii="Calibri" w:hAnsi="Calibri" w:eastAsia="Times New Roman" w:cs="Calibri"/>
      <w:b/>
      <w:sz w:val="22"/>
      <w:lang w:val="ru-RU" w:eastAsia="ru-RU" w:bidi="ar-SA"/>
    </w:rPr>
  </w:style>
  <w:style w:type="paragraph" w:customStyle="1" w:styleId="235">
    <w:name w:val="pt-a-000018"/>
    <w:basedOn w:val="1"/>
    <w:qFormat/>
    <w:uiPriority w:val="0"/>
    <w:pPr>
      <w:spacing w:before="100" w:beforeAutospacing="1" w:after="100" w:afterAutospacing="1"/>
    </w:pPr>
    <w:rPr>
      <w:rFonts w:eastAsia="Times New Roman"/>
    </w:rPr>
  </w:style>
  <w:style w:type="character" w:customStyle="1" w:styleId="236">
    <w:name w:val="pt-a0-000019"/>
    <w:qFormat/>
    <w:uiPriority w:val="0"/>
  </w:style>
  <w:style w:type="character" w:customStyle="1" w:styleId="237">
    <w:name w:val="Unresolved Mention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rgbClr val="FFFFFF"/>
        </a:solidFill>
        <a:solidFill>
          <a:srgbClr val="FFFFFF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DERBO</Company>
  <TotalTime>1</TotalTime>
  <ScaleCrop>false</ScaleCrop>
  <LinksUpToDate>false</LinksUpToDate>
  <Application>WPS Office_11.1.0.11723_F1E327BC-269C-435d-A152-05C5408002CA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2026-02-20T21:05:00Z</dcterms:created>
  <dc:creator>Бугаева Лилия Николаевна</dc:creator>
  <cp:lastModifiedBy>rudykina</cp:lastModifiedBy>
  <dcterms:modified xsi:type="dcterms:W3CDTF">2026-03-25T11:19:10Z</dcterms:modified>
  <dc:title>ЗАКОН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