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Расчет стандартных издержек фермеров, претендующих на получение гранта 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br/>
        <w:t xml:space="preserve">на развитие фермерского хозяйства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или субсидии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на возмещение затрат фермерских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 хозяйств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spacing w:after="0" w:line="240" w:lineRule="auto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6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Представление пакета документов, необходимого для получения гранта                                       «На развитие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фермерских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 хозяйств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Белгородской области» и субсидии «на возмещение затрат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фермерских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 хозяйств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Белгородской области» в рамках государственной программы Белгородской области «Развитие сельского хозяйства и рыбоводства в Белгородской области»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 и продовольствия области.</w:t>
      </w:r>
      <w:r>
        <w:rPr>
          <w:rFonts w:ascii="Times New Roman" w:hAnsi="Times New Roman"/>
          <w:i/>
          <w:sz w:val="26"/>
          <w:szCs w:val="26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документов, участие в конкурсе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601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раза в год.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57 17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0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,00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</w:r>
      <w:r>
        <w:rPr>
          <w:sz w:val="26"/>
          <w:szCs w:val="26"/>
        </w:rPr>
      </w:r>
    </w:p>
    <w:p>
      <w:pPr>
        <w:pStyle w:val="60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ru-RU"/>
        </w:rPr>
        <w:t xml:space="preserve">324,82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57170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/22 рабочих дня/8 рабочих часов)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601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01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eastAsia="ru-RU"/>
              </w:rPr>
              <w:t xml:space="preserve">Подготовка пакета документов для получения субсидий, предоставляемых крестьянским (фермерским) хозяйствам на возмещение  затрат</w:t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val="en-US" w:eastAsia="ru-RU"/>
              </w:rPr>
              <w:t xml:space="preserve"> фермерских хозяйств</w:t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eastAsia="ru-RU"/>
              </w:rPr>
              <w:t xml:space="preserve"> Белгородской области: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601"/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eastAsia="ru-RU"/>
              </w:rPr>
              <w:t xml:space="preserve">Подготовка пакета документов для получения гранта на развитие фермерского</w:t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val="en-US" w:eastAsia="ru-RU"/>
              </w:rPr>
              <w:t xml:space="preserve"> хозяйства</w:t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i/>
                <w:sz w:val="22"/>
                <w:szCs w:val="22"/>
                <w:highlight w:val="none"/>
                <w:u w:val="singl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spacing w:after="0" w:line="240" w:lineRule="auto"/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аполнение формы заявки на субсидию в электронном виде по установленной форме –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сканирование паспорта заявителя, копий паспортов членов К(Ф)Х, соглашения о создании К(Ф)Х или решение ИП о ведении К(Ф)Х, свидетельства о постановке на учет в налоговом органе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, выписки из ЕГРЮЛ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</w:t>
            </w:r>
            <w:bookmarkStart w:id="0" w:name="_Hlk188957898"/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– 1 чел./часов</w:t>
            </w:r>
            <w:bookmarkEnd w:id="0"/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реквизитов расчетного счета, открытого в российской кредитной организации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сканирование документов, подтверждающих приобретение оборудования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сельскохозяйственной техники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специализированного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 транспорта или животных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– 1 чел./час;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расчета размера субсидии и подписание органом управления агропромышленного комплекса муниципального образования, на территории которого зарегистрирован участник обора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сканирование документов, подтверждающих родство и (или) свойство между членами крестьянского (фермерского) хозяйства – 1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сканирование отчётности о производственной деятельности за предыдущий финансовый год и сведений по формам федерального статистического наблюдения, отражающими показатели сельскохозяйственной деятельности – 0,5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подготовка информационного письма налогового органа о действующей системе налогообложения, заверенным налоговым органом– 2 чел./часа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участие в выездном обследовании комиссии органа местного самоуправления, подтверждающем наличие и соответствие приобретённого оборудования, сельскохозяйственной техники, транспорта или сельскохозяйственных животных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 перечня записей о земельном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(-ых) участке(-ах)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ru-RU"/>
              </w:rPr>
              <w:t xml:space="preserve">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ru-RU"/>
              </w:rPr>
              <w:t xml:space="preserve">собственником,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землепользователем, землевладельцем или арендатором которого(-ых) является и на которых планируется осуществлять сельскохозяйственное производство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– 1 чел./час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1"/>
              </w:numPr>
              <w:ind w:left="0" w:right="-108" w:firstLine="0"/>
              <w:spacing w:after="0" w:line="240" w:lineRule="auto"/>
              <w:tabs>
                <w:tab w:val="left" w:pos="314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подготовка 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копии сертификата,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 (при необходимости)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 – 1 чел./час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ind w:left="37" w:right="-113"/>
              <w:spacing w:after="0" w:line="240" w:lineRule="auto"/>
              <w:tabs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загрузка необходимых документов на портал предоставления мер финансовой государственной поддержки «Электронный бюджет - 2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ind w:right="-108"/>
              <w:spacing w:after="0" w:line="240" w:lineRule="auto"/>
              <w:tabs>
                <w:tab w:val="left" w:pos="463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val="en-US"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подписание соглашения о предоставлении субсидии – 0,25 чел./час;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601"/>
              <w:numPr>
                <w:ilvl w:val="0"/>
                <w:numId w:val="2"/>
              </w:numPr>
              <w:ind w:left="39" w:right="-113" w:hanging="4"/>
              <w:spacing w:after="0" w:line="240" w:lineRule="auto"/>
              <w:tabs>
                <w:tab w:val="left" w:pos="319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заполнение формы заявки на грант в электронном виде по установленной форме –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сканирование паспорта заявителя, копий паспортов членов К(Ф)Х, соглашения о создании К(Ф)Х или решение ИП о ведении К(Ф)Х, свидетельства о постановке на учет в налоговом органе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, выписки из ЕГРЮЛ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– 1 чел./часов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Бизнес-плана – 5 чел./часов;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 документов, подтверждающих возможность софинансировать проект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презентации проекта –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правоудостоверяющих документов на имущество, участвующее в реализации проекта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подготовка документов, подтверждающих стоимость имущества, планируемого к приобретению за счёт средств гранта – 1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сканирование документов, подтверждающих родство и (или) свойство между членами крестьянского (фермерского) хозяйства – 1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сканирование отчётности о производственной деятельности за предыдущий финансовый год и сведений по формам федерального статистического наблюдения, отражающими показатели сельскохозяйственной деятельности – 0,5 чел./час;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 подготовка информации о срочных обязательствах финансового характера с указанием содержания обязательства, кредитора (должника), основания возникновения, суммы и условий обязательств – 1 чел./час;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33" w:right="-113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 подготовка информационного письма налогового органа о действующей системе налогообложения, заверенным налоговым органом– 2 чел./часа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33" w:right="-113" w:firstLine="0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подготовка обязательства по сохранению до завер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шения подведения итогов Конкурса на расчетном счете денежных средств в размере, достаточном для подтверждения возможности собственного софинансирование реализации мероприятий проекта (бизнес-плана) по форме, утверждаемой приказом Министерства – 1 чел./час;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4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подготовка дополнительных материалов – 2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прохождение районной комиссии по рассмотр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– 2 чел./часа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val="en-US" w:eastAsia="ru-RU"/>
              </w:rPr>
              <w:t xml:space="preserve"> подготовка перечня записей о земельном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(-ых) участке(-ах) участника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ru-RU"/>
              </w:rPr>
              <w:t xml:space="preserve">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ru-RU"/>
              </w:rPr>
              <w:t xml:space="preserve">собственником,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ru-RU"/>
              </w:rPr>
              <w:t xml:space="preserve">землепользователем, землевладельцем или арендатором которого(-ых) является и на которых планируется осуществлять сельскохозяйственное производство</w:t>
            </w:r>
            <w:r>
              <w:rPr>
                <w:rFonts w:ascii="Times New Roman" w:hAnsi="Times New Roman" w:eastAsia="Times New Roman"/>
                <w:bCs/>
                <w:sz w:val="22"/>
                <w:szCs w:val="22"/>
                <w:highlight w:val="none"/>
                <w:lang w:eastAsia="ru-RU"/>
              </w:rPr>
              <w:t xml:space="preserve">– 1 чел./час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загрузка необходимых документов на портал предоставления мер финансовой государственной поддержки «Электронный бюджет - 2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участие в защите проектов – 0,25 чел./часов;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numPr>
                <w:ilvl w:val="0"/>
                <w:numId w:val="2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  <w:t xml:space="preserve"> подписание соглашения о предоставлении гранта – 0,25 чел./час;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27"/>
        </w:trPr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Итого: 13,25 чел./часа.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/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Итого: 24,5 чел./часа.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/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rPr>
          <w:trHeight w:val="427"/>
        </w:trPr>
        <w:tc>
          <w:tcPr>
            <w:tcW w:w="4820" w:type="dxa"/>
            <w:vAlign w:val="top"/>
            <w:vMerge w:val="restart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Потенциальное число заявителей: 20 ед.</w:t>
            </w:r>
            <w:r/>
          </w:p>
        </w:tc>
        <w:tc>
          <w:tcP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463" w:leader="none"/>
              </w:tabs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highlight w:val="none"/>
                <w:lang w:eastAsia="ru-RU"/>
              </w:rPr>
              <w:t xml:space="preserve">Потенциальное число заявителей: 16 ед.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427"/>
        </w:trPr>
        <w:tc>
          <w:tcPr>
            <w:tcW w:w="4820" w:type="dxa"/>
            <w:vAlign w:val="top"/>
            <w:textDirection w:val="lrTb"/>
            <w:noWrap w:val="false"/>
          </w:tcPr>
          <w:p>
            <w:pPr>
              <w:pStyle w:val="601"/>
              <w:spacing w:after="0" w:line="240" w:lineRule="auto"/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Общая стоимость требования: 1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,25*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2*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0 = 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6,08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 тыс. руб.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vAlign w:val="top"/>
            <w:textDirection w:val="lrTb"/>
            <w:noWrap w:val="false"/>
          </w:tcPr>
          <w:p>
            <w:pPr>
              <w:pStyle w:val="601"/>
              <w:spacing w:after="0" w:line="240" w:lineRule="auto"/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Общая стоимость требования: 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01"/>
              <w:spacing w:after="0" w:line="240" w:lineRule="auto"/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4,5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24,82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val="en-US" w:eastAsia="ru-RU"/>
              </w:rPr>
              <w:t xml:space="preserve">27,33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  <w:t xml:space="preserve"> тыс. руб.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highlight w:val="none"/>
                <w:lang w:eastAsia="ru-RU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01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601"/>
        <w:jc w:val="both"/>
        <w:tabs>
          <w:tab w:val="left" w:pos="695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Всего на 2026 год в рамках реализации Государственной программы предусмотрено предоставление грантов и субсидий на развитие фермерских хозяйств Белгородской области на общую сумму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2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58 786,00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рублей, в том числе средства федерального бюджета –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1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75 974,48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 (68%)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средства областного бюджета –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8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2811,52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 (32%)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/>
          <w:sz w:val="26"/>
          <w:szCs w:val="26"/>
        </w:rPr>
        <w:tab/>
      </w:r>
      <w:r/>
    </w:p>
    <w:sectPr>
      <w:footnotePr/>
      <w:endnotePr/>
      <w:type w:val="nextPage"/>
      <w:pgSz w:w="11906" w:h="16838" w:orient="portrait"/>
      <w:pgMar w:top="1134" w:right="566" w:bottom="567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1494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1"/>
        <w:ind w:left="33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60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1"/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1"/>
    <w:next w:val="6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1"/>
    <w:next w:val="6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1"/>
    <w:next w:val="6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next w:val="601"/>
    <w:link w:val="60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02">
    <w:name w:val="Основной шрифт абзаца"/>
    <w:next w:val="602"/>
    <w:link w:val="601"/>
    <w:uiPriority w:val="1"/>
    <w:unhideWhenUsed/>
  </w:style>
  <w:style w:type="table" w:styleId="603">
    <w:name w:val="Обычная таблица"/>
    <w:next w:val="603"/>
    <w:link w:val="601"/>
    <w:uiPriority w:val="99"/>
    <w:unhideWhenUsed/>
    <w:tblPr/>
  </w:style>
  <w:style w:type="paragraph" w:styleId="604">
    <w:name w:val="Текст выноски"/>
    <w:basedOn w:val="601"/>
    <w:next w:val="604"/>
    <w:link w:val="60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5">
    <w:name w:val="Текст выноски Знак"/>
    <w:next w:val="605"/>
    <w:link w:val="604"/>
    <w:uiPriority w:val="99"/>
    <w:semiHidden/>
    <w:rPr>
      <w:rFonts w:ascii="Segoe UI" w:hAnsi="Segoe UI" w:cs="Segoe UI"/>
      <w:sz w:val="18"/>
      <w:szCs w:val="18"/>
    </w:rPr>
  </w:style>
  <w:style w:type="paragraph" w:styleId="606">
    <w:name w:val="Абзац списка"/>
    <w:basedOn w:val="601"/>
    <w:next w:val="606"/>
    <w:link w:val="6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1027" w:default="1">
    <w:name w:val="Default Paragraph Font"/>
    <w:uiPriority w:val="1"/>
    <w:semiHidden/>
    <w:unhideWhenUsed/>
  </w:style>
  <w:style w:type="numbering" w:styleId="1028" w:default="1">
    <w:name w:val="No List"/>
    <w:uiPriority w:val="99"/>
    <w:semiHidden/>
    <w:unhideWhenUsed/>
  </w:style>
  <w:style w:type="table" w:styleId="10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</dc:creator>
  <cp:revision>3</cp:revision>
  <dcterms:created xsi:type="dcterms:W3CDTF">2022-01-20T00:10:00Z</dcterms:created>
  <dcterms:modified xsi:type="dcterms:W3CDTF">2026-02-02T09:33:21Z</dcterms:modified>
</cp:coreProperties>
</file>