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2816565</wp:posOffset>
                </wp:positionH>
                <wp:positionV relativeFrom="paragraph">
                  <wp:posOffset>-358608</wp:posOffset>
                </wp:positionV>
                <wp:extent cx="428625" cy="295275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28625" cy="2952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048;o:allowoverlap:true;o:allowincell:true;mso-position-horizontal-relative:text;margin-left:221.78pt;mso-position-horizontal:absolute;mso-position-vertical-relative:text;margin-top:-28.24pt;mso-position-vertical:absolute;width:33.75pt;height:23.25pt;mso-wrap-distance-left:9.07pt;mso-wrap-distance-top:0.00pt;mso-wrap-distance-right:9.07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4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85"/>
        <w:ind w:left="0" w:firstLine="54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firstLine="54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sz w:val="28"/>
          <w:szCs w:val="28"/>
        </w:rPr>
        <w:t xml:space="preserve">Правительства Белгородской области 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firstLine="54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sz w:val="28"/>
          <w:szCs w:val="28"/>
        </w:rPr>
        <w:t xml:space="preserve">от 17 июля 2023 года № 390-пп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14:ligatures w14:val="none"/>
        </w:rPr>
      </w:r>
    </w:p>
    <w:p>
      <w:pPr>
        <w:pStyle w:val="885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целях приведения нормативного правового акта Белгородской в соответствие с действующим законодательством Правительство Белгородской области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sz w:val="28"/>
          <w:szCs w:val="28"/>
        </w:rPr>
        <w:t xml:space="preserve">п о с т а н о в л я е т:</w:t>
      </w: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i w:val="0"/>
          <w:strike w:val="0"/>
          <w:sz w:val="28"/>
          <w:szCs w:val="28"/>
          <w14:ligatures w14:val="none"/>
        </w:rPr>
      </w:r>
    </w:p>
    <w:p>
      <w:pPr>
        <w:pStyle w:val="885"/>
        <w:numPr>
          <w:ilvl w:val="0"/>
          <w:numId w:val="3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Внести следующие изменения в постановление Правительства Белгородской области от 17 июля 2023 года № 390-пп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Об утверждении Положения о региональном государственном контроле (надзоре) в области технического состоянияи эксплуатации аттракционов»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numPr>
          <w:ilvl w:val="0"/>
          <w:numId w:val="4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Пункт 3 постановления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«3. Контроль за исполнением настоящего постановления возложить 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министерство сельского хозяйства и продовольствия Белгородской области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</w:p>
    <w:p>
      <w:pPr>
        <w:pStyle w:val="885"/>
        <w:numPr>
          <w:ilvl w:val="0"/>
          <w:numId w:val="7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 региональном государственном контроле  (надзоре) в области технического состоянияи эксплуатации аттракционов, утвержденное в пункте 1 названного постановления: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</w:p>
    <w:p>
      <w:pPr>
        <w:pStyle w:val="885"/>
        <w:numPr>
          <w:ilvl w:val="0"/>
          <w:numId w:val="7"/>
        </w:numPr>
        <w:ind w:left="0" w:right="0" w:firstLine="709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пункт 1.5 дополнить абзацем следующего содержания: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</w:rPr>
        <w:t xml:space="preserve">Должностными лицами, уполномоченными на принятие решений </w:t>
        <w:br/>
        <w:t xml:space="preserve">о проведении контрольных (надзорных) и профилактических мероприятий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являются начальник упр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начальник инспекции – главный государственный инженер-инспектор области по государственному надзору за техническим состоянием самоходных машин и других видов техники, заместитель начальника управления - заместитель начальника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нспекции - заместитель главного государственного инженера-инспектора области по государственному надзору за техническим состоянием самоходных машин и других видов техники, начальник отдела регионального государственного надзора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заместитель главного государственного инженера-инспектора области по государственному надзору за техническим состоянием самоходных машин и других видов техники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82"/>
        <w:numPr>
          <w:ilvl w:val="0"/>
          <w:numId w:val="12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 3.3 дополнить подпунктами 6)-7)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«6)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меры стимулирования доб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росовестно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самообследование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82"/>
        <w:numPr>
          <w:ilvl w:val="0"/>
          <w:numId w:val="13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дополнить пунктами 3.37-3.38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«3.37.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целью нематериального поощрения контролируемых лиц,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добросовестно соблюдающих зако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нодательство в сфере безопасной эксплуатации аттракционов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инспекция может объявлять благодарности (далее – мера стимулирования добросовестности).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strike w:val="0"/>
          <w:color w:val="000000" w:themeColor="text1"/>
          <w:sz w:val="19"/>
          <w:szCs w:val="19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Инспекция проводит мероприятие, направленное на нематериальное поощрение добросовестных контролируемых лиц (далее - мера стимулирования добросовестности), - присвоение контролируемому лицу репутационного статуса лица, добросовестно соблюдающего зако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нодательство в сфере безопасной эксплуатации аттракционов,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посредством</w:t>
      </w:r>
      <w:r>
        <w:rPr>
          <w:rFonts w:ascii="Times New Roman" w:hAnsi="Times New Roman" w:eastAsia="Times New Roman" w:cs="Times New Roman"/>
          <w:strike w:val="0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объявления благодарности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и объявления благодарности с вручением отличительного знака в виде наклейки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далее - репутационный статус).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19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19"/>
          <w:szCs w:val="19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19"/>
          <w:szCs w:val="19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Положение о нематериальном поощрении контролируемых лиц,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добросовестно соблюдающих зако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нодательство в сфере безопасной эксплуатации аттракционов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ждается правовым актом инспекции.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Мера стимулирования добросовестности применяется инспекцией по итогам проведения контрольных (надзорных) мероприятий в отношении объектов контролируемых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 за период с 01 января по 20 ноября текущего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Решение инспекции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 присвоении репутационного статуса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оформляется приказом инспекции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 позднее 15 декабря текущего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направляется контролируемому лицу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не позднее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25 декабря текущего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</w:rPr>
        <w:t xml:space="preserve">Присвоение репутационного статуса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происходит, если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контролируемое лицо соответствует следующим критериям оценки: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82"/>
        <w:numPr>
          <w:ilvl w:val="0"/>
          <w:numId w:val="14"/>
        </w:numPr>
        <w:ind w:left="0" w:right="0" w:firstLine="709"/>
        <w:jc w:val="both"/>
        <w:spacing w:before="0" w:after="0" w:line="288" w:lineRule="atLeast"/>
        <w:tabs>
          <w:tab w:val="left" w:pos="992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отсутствие нарушений обязательных требований по результатам контрольных (надзорных) мероприятий, проведенных инспекцией в отношении контролируемого лица;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82"/>
        <w:numPr>
          <w:ilvl w:val="0"/>
          <w:numId w:val="14"/>
        </w:numPr>
        <w:ind w:left="0" w:right="0" w:firstLine="709"/>
        <w:jc w:val="both"/>
        <w:spacing w:before="0" w:after="0" w:line="288" w:lineRule="atLeast"/>
        <w:tabs>
          <w:tab w:val="left" w:pos="992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отсутствие вынесенных постановлений о назначении административных наказаний, назначенных контролируемому лицу по результатам рассмотрения протоколов об административных правонарушениях, выраженных в нарушении обязательных требований, соблюдение которых явл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яется предметом государственного надзора;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82"/>
        <w:numPr>
          <w:ilvl w:val="0"/>
          <w:numId w:val="14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принятие контролируемым лицом надлежащих мер по обеспечению соблюдения обязательных требований, предложенных в предостережениях о недопустимости нарушения обязательных требований, объявленных инспекцией контролируемому лицу, и сообщение о принятых мерах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инспекцию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3.38.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добровольного определения уровня соблюдения обязательных требований контролируемые лица вправе осуществлять самостоятельную оценку соблюдения обязательных требований (самообследование).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Инспекцией утверждаются методические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рекомендации по проведению самообследования и подготовке декларации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соблюдения обязательных требований.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Методические рекомендации по проведению самообследования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подготовке декларации соблюдения обязательных требований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размещаются инспекцией на официальном сайте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информационно-коммуникационной сети Интернет»;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2"/>
        <w:numPr>
          <w:ilvl w:val="0"/>
          <w:numId w:val="17"/>
        </w:numPr>
        <w:ind w:left="0" w:right="0" w:firstLine="709"/>
        <w:jc w:val="both"/>
        <w:spacing w:before="0" w:after="0" w:line="288" w:lineRule="atLeast"/>
        <w:tabs>
          <w:tab w:val="left" w:pos="992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абзац 3 пункта 4.43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2"/>
        <w:numPr>
          <w:ilvl w:val="0"/>
          <w:numId w:val="15"/>
        </w:numPr>
        <w:ind w:left="0" w:right="0" w:firstLine="709"/>
        <w:jc w:val="both"/>
        <w:spacing w:before="0" w:after="0" w:line="288" w:lineRule="atLeast"/>
        <w:tabs>
          <w:tab w:val="left" w:pos="992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пункт 4.56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tabs>
          <w:tab w:val="left" w:pos="992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«4.56.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 результатам проведения выездного обследования не может быть принято решение, предусмотренное пунктом 2 части 2 статьи 90 настоящего Федерального закона № 248-ФЗ.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</w:t>
      </w:r>
      <w:hyperlink r:id="rId10" w:tooltip="https://login.consultant.ru/link/?req=doc&amp;base=LAW&amp;n=480240&amp;dst=100999&amp;field=134&amp;date=22.11.202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</w:rPr>
          <w:t xml:space="preserve">пунктом 1 части 2 статьи 90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Федерального закона № 248-ФЗ, в случае указания такой возможности в федеральном законе о виде контроля, законе Белгородской области о виде контроля.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14:ligatures w14:val="non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инистерство сельского хозяйства и продовольствия Белгородской области.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 Настоящее постановление вступает в силу со дня его официального опубликования.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85"/>
        <w:ind w:left="0" w:right="0" w:firstLine="992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tbl>
      <w:tblPr>
        <w:tblStyle w:val="734"/>
        <w:tblW w:w="0" w:type="auto"/>
        <w:tblLook w:val="04A0" w:firstRow="1" w:lastRow="0" w:firstColumn="1" w:lastColumn="0" w:noHBand="0" w:noVBand="1"/>
      </w:tblPr>
      <w:tblGrid>
        <w:gridCol w:w="4791"/>
        <w:gridCol w:w="479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1" w:type="dxa"/>
            <w:textDirection w:val="lrTb"/>
            <w:noWrap w:val="false"/>
          </w:tcPr>
          <w:p>
            <w:pPr>
              <w:pStyle w:val="885"/>
              <w:jc w:val="both"/>
              <w:spacing w:before="0" w:after="0" w:line="240" w:lineRule="auto"/>
              <w:tabs>
                <w:tab w:val="left" w:pos="709" w:leader="none"/>
                <w:tab w:val="left" w:pos="850" w:leader="none"/>
              </w:tabs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sz w:val="28"/>
                <w:szCs w:val="28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14:ligatures w14:val="none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sz w:val="28"/>
                <w:szCs w:val="28"/>
                <w14:ligatures w14:val="none"/>
              </w:rPr>
              <w:t xml:space="preserve">Губернатор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pStyle w:val="885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sz w:val="28"/>
                <w:szCs w:val="28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sz w:val="28"/>
                <w:szCs w:val="28"/>
                <w14:ligatures w14:val="none"/>
              </w:rPr>
              <w:t xml:space="preserve">Белгородской области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1" w:type="dxa"/>
            <w:textDirection w:val="lrTb"/>
            <w:noWrap w:val="false"/>
          </w:tcPr>
          <w:p>
            <w:pPr>
              <w:pStyle w:val="885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pStyle w:val="885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sz w:val="28"/>
                <w:szCs w:val="28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sz w:val="28"/>
                <w:szCs w:val="28"/>
                <w14:ligatures w14:val="none"/>
              </w:rPr>
              <w:t xml:space="preserve">В.В. Гладков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sz w:val="28"/>
                <w:szCs w:val="28"/>
                <w14:ligatures w14:val="none"/>
              </w:rPr>
            </w:r>
          </w:p>
        </w:tc>
      </w:tr>
    </w:tbl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pStyle w:val="88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fldSimple w:instr="PAGE \* MERGEFORMAT">
      <w:r>
        <w:t xml:space="preserve">1</w:t>
      </w:r>
    </w:fldSimple>
    <w:r/>
    <w:r/>
  </w:p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61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61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61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6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6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61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8"/>
    <w:next w:val="878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8"/>
    <w:next w:val="878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No Spacing"/>
    <w:basedOn w:val="878"/>
    <w:uiPriority w:val="1"/>
    <w:qFormat/>
    <w:pPr>
      <w:spacing w:after="0" w:line="240" w:lineRule="auto"/>
    </w:pPr>
  </w:style>
  <w:style w:type="paragraph" w:styleId="882">
    <w:name w:val="List Paragraph"/>
    <w:basedOn w:val="878"/>
    <w:uiPriority w:val="34"/>
    <w:qFormat/>
    <w:pPr>
      <w:contextualSpacing/>
      <w:ind w:left="720"/>
    </w:pPr>
  </w:style>
  <w:style w:type="character" w:styleId="883" w:default="1">
    <w:name w:val="Default Paragraph Font"/>
    <w:uiPriority w:val="1"/>
    <w:semiHidden/>
    <w:unhideWhenUsed/>
  </w:style>
  <w:style w:type="paragraph" w:styleId="884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480240&amp;dst=100999&amp;field=134&amp;date=22.11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14</cp:revision>
  <dcterms:modified xsi:type="dcterms:W3CDTF">2024-12-23T07:48:40Z</dcterms:modified>
</cp:coreProperties>
</file>