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bCs/>
          <w:sz w:val="10"/>
          <w:szCs w:val="10"/>
        </w:rPr>
      </w:pPr>
      <w:r>
        <w:rPr>
          <w:rFonts w:ascii="Times New Roman" w:hAnsi="Times New Roman" w:eastAsia="Times New Roman"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981"/>
        <w:jc w:val="center"/>
        <w:rPr>
          <w:rFonts w:ascii="Times New Roman" w:hAnsi="Times New Roman" w:eastAsia="Times New Roman"/>
          <w:b w:val="0"/>
          <w:bCs w:val="0"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Акт: </w:t>
      </w:r>
      <w:r>
        <w:rPr>
          <w:sz w:val="26"/>
          <w:szCs w:val="26"/>
          <w:lang w:val="ru-RU"/>
        </w:rPr>
        <w:t xml:space="preserve">проект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430</w:t>
      </w:r>
      <w:r>
        <w:rPr>
          <w:sz w:val="26"/>
          <w:szCs w:val="26"/>
          <w:lang w:val="ru-RU"/>
        </w:rPr>
        <w:t xml:space="preserve">-пп»</w:t>
      </w:r>
      <w:r>
        <w:rPr>
          <w:b w:val="0"/>
          <w:bCs w:val="0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управление государственного жилищного надзора Белгородской области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b w:val="0"/>
          <w:bCs w:val="0"/>
          <w:sz w:val="26"/>
          <w:szCs w:val="26"/>
          <w:lang w:eastAsia="ru-RU"/>
        </w:rPr>
        <w:t xml:space="preserve">6.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8.2025 -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12.08.2025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  <w:br/>
        <w:t xml:space="preserve">по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проекту постановления Правительства Белгородской области</w:t>
        <w:br/>
        <w:t xml:space="preserve">«О внесении изменений в постановление Правительства Белгородской области</w:t>
        <w:br/>
        <w:t xml:space="preserve">от 27 сентября 2021 года № 4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30-пп»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12 </w:t>
      </w:r>
      <w:r>
        <w:rPr>
          <w:rFonts w:ascii="Times New Roman" w:hAnsi="Times New Roman"/>
          <w:b/>
          <w:sz w:val="26"/>
          <w:szCs w:val="26"/>
        </w:rPr>
        <w:t xml:space="preserve">августа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5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Основной текст 31"/>
    <w:basedOn w:val="838"/>
    <w:link w:val="83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20</cp:revision>
  <dcterms:created xsi:type="dcterms:W3CDTF">2021-01-29T07:09:00Z</dcterms:created>
  <dcterms:modified xsi:type="dcterms:W3CDTF">2025-08-19T11:53:49Z</dcterms:modified>
  <cp:version>917504</cp:version>
</cp:coreProperties>
</file>