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lef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Финансовая оценка эффек</w:t>
      </w:r>
      <w:r>
        <w:rPr>
          <w:rFonts w:ascii="Times New Roman" w:hAnsi="Times New Roman" w:cs="Times New Roman"/>
          <w:b/>
          <w:sz w:val="28"/>
          <w:szCs w:val="28"/>
        </w:rPr>
        <w:t xml:space="preserve">тивности установленных норм НПА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2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Субсидии заемщикам за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счет средств федерального и областного бюджетов, предусмотренные на возмещение затрат на уплату процентов по кредитам, полученным для реализации инвестиционных проектов по обеспечению земельных участков под жилое строительство коммунальной инфраструктурой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предусмотренные на 2007 -2010 гг.</w:t>
      </w:r>
      <w:r>
        <w:rPr>
          <w:sz w:val="28"/>
          <w:szCs w:val="28"/>
        </w:rPr>
      </w:r>
      <w:r/>
    </w:p>
    <w:p>
      <w:pPr>
        <w:pStyle w:val="82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sz w:val="28"/>
          <w:szCs w:val="28"/>
        </w:rPr>
      </w:r>
      <w:r/>
    </w:p>
    <w:tbl>
      <w:tblPr>
        <w:tblStyle w:val="822"/>
        <w:tblW w:w="0" w:type="auto"/>
        <w:tblLook w:val="04A0" w:firstRow="1" w:lastRow="0" w:firstColumn="1" w:lastColumn="0" w:noHBand="0" w:noVBand="1"/>
      </w:tblPr>
      <w:tblGrid>
        <w:gridCol w:w="1421"/>
        <w:gridCol w:w="1855"/>
        <w:gridCol w:w="1535"/>
        <w:gridCol w:w="1940"/>
        <w:gridCol w:w="1677"/>
        <w:gridCol w:w="1996"/>
        <w:gridCol w:w="1996"/>
      </w:tblGrid>
      <w:tr>
        <w:trPr/>
        <w:tc>
          <w:tcPr>
            <w:shd w:val="clear" w:color="auto" w:fill="f2f2f2" w:themeFill="background1" w:themeFillShade="F2"/>
            <w:tcW w:w="1082" w:type="dxa"/>
            <w:vMerge w:val="restart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Год</w:t>
            </w:r>
            <w:r>
              <w:rPr>
                <w:sz w:val="26"/>
                <w:szCs w:val="26"/>
              </w:rPr>
            </w:r>
            <w:r/>
          </w:p>
          <w:p>
            <w:pPr>
              <w:pStyle w:val="8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gridSpan w:val="2"/>
            <w:shd w:val="clear" w:color="ffffff" w:fill="f2f2f2" w:themeFill="background1" w:themeFillShade="F2"/>
            <w:tcW w:w="3390" w:type="dxa"/>
            <w:textDirection w:val="lrTb"/>
            <w:noWrap w:val="false"/>
          </w:tcPr>
          <w:p>
            <w:pPr>
              <w:pStyle w:val="829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Объем средств на  возмещение затрат на уплату процентной ставки по   кредиту за  счет средств федерального бюджета,    </w:t>
            </w:r>
            <w:r>
              <w:rPr>
                <w:sz w:val="26"/>
                <w:szCs w:val="26"/>
              </w:rPr>
            </w:r>
            <w:r/>
          </w:p>
          <w:p>
            <w:pPr>
              <w:pStyle w:val="8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млн. руб.   </w:t>
            </w:r>
            <w:r>
              <w:rPr>
                <w:sz w:val="26"/>
                <w:szCs w:val="26"/>
              </w:rPr>
            </w:r>
            <w:r/>
          </w:p>
          <w:p>
            <w:pPr>
              <w:pStyle w:val="8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gridSpan w:val="2"/>
            <w:shd w:val="clear" w:color="ffffff" w:fill="f2f2f2" w:themeFill="background1" w:themeFillShade="F2"/>
            <w:tcW w:w="3616" w:type="dxa"/>
            <w:textDirection w:val="lrTb"/>
            <w:noWrap w:val="false"/>
          </w:tcPr>
          <w:p>
            <w:pPr>
              <w:pStyle w:val="829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Объем средств на  возмещение затрат на уплату процентной ставки по   кредиту за  счет средств областного бюджета,    </w:t>
            </w:r>
            <w:r>
              <w:rPr>
                <w:sz w:val="26"/>
                <w:szCs w:val="26"/>
              </w:rPr>
            </w:r>
            <w:r/>
          </w:p>
          <w:p>
            <w:pPr>
              <w:pStyle w:val="8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млн. руб.   </w:t>
            </w:r>
            <w:r>
              <w:rPr>
                <w:sz w:val="26"/>
                <w:szCs w:val="26"/>
              </w:rPr>
            </w:r>
            <w:r/>
          </w:p>
          <w:p>
            <w:pPr>
              <w:pStyle w:val="8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gridSpan w:val="2"/>
            <w:shd w:val="clear" w:color="auto" w:fill="f2f2f2" w:themeFill="background1" w:themeFillShade="F2"/>
            <w:tcW w:w="3214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Всего, </w:t>
            </w:r>
            <w:r>
              <w:rPr>
                <w:sz w:val="26"/>
                <w:szCs w:val="26"/>
              </w:rPr>
            </w:r>
            <w:r/>
          </w:p>
          <w:p>
            <w:pPr>
              <w:pStyle w:val="8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млн. руб.  </w:t>
            </w:r>
            <w:r>
              <w:rPr>
                <w:sz w:val="26"/>
                <w:szCs w:val="26"/>
              </w:rPr>
            </w:r>
            <w:r/>
          </w:p>
          <w:p>
            <w:pPr>
              <w:pStyle w:val="8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ffffff" w:fill="f2f2f2" w:themeFill="background1" w:themeFillShade="F2"/>
            <w:tcW w:w="142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2f2f2" w:themeFill="background1" w:themeFillShade="F2"/>
            <w:tcW w:w="1855" w:type="dxa"/>
            <w:vMerge w:val="restart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shd w:val="clear" w:color="ffffff" w:fill="f2f2f2" w:themeFill="background1" w:themeFillShade="F2"/>
            <w:tcW w:w="1535" w:type="dxa"/>
            <w:vMerge w:val="restart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shd w:val="clear" w:color="ffffff" w:fill="f2f2f2" w:themeFill="background1" w:themeFillShade="F2"/>
            <w:tcW w:w="1940" w:type="dxa"/>
            <w:vMerge w:val="restart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shd w:val="clear" w:color="ffffff" w:fill="f2f2f2" w:themeFill="background1" w:themeFillShade="F2"/>
            <w:tcW w:w="1677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shd w:val="clear" w:color="ffffff" w:fill="f2f2f2" w:themeFill="background1" w:themeFillShade="F2"/>
            <w:tcW w:w="1996" w:type="dxa"/>
            <w:vMerge w:val="restart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shd w:val="clear" w:color="ffffff" w:fill="f2f2f2" w:themeFill="background1" w:themeFillShade="F2"/>
            <w:tcW w:w="1996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1421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2007 год                                 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1855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8,2027669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1535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8,2027669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1940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3,6175546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1677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3,6175546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1996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11,8203215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1996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11,8203215</w:t>
            </w: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W w:w="1421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2008 год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1855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18,39318749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1535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18,39318749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1940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2,04368751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1677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2,04368751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1996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20,43687500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1996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20,43687500</w:t>
            </w: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W w:w="1421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2009 год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1855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7,53289983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1535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7,53289983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1940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0,83698885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1677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0,83698885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1996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8,36988868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1996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8,36988868</w:t>
            </w: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W w:w="1421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2010 год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1855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1,9565   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1535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1,9565   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1940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0,2174   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1677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0,2174   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1996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2,1739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1996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2,1739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f2f2f2" w:themeFill="background1" w:themeFillShade="F2"/>
            <w:tcW w:w="1421" w:type="dxa"/>
            <w:textDirection w:val="lrTb"/>
            <w:noWrap w:val="false"/>
          </w:tcPr>
          <w:p>
            <w:pPr>
              <w:pStyle w:val="829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ВСЕГО</w:t>
            </w:r>
            <w:r>
              <w:rPr>
                <w:sz w:val="26"/>
                <w:szCs w:val="26"/>
              </w:rPr>
            </w:r>
            <w:r/>
          </w:p>
          <w:p>
            <w:pPr>
              <w:pStyle w:val="829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(2007-2010 годы)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shd w:val="clear" w:color="ffffff" w:fill="f2f2f2" w:themeFill="background1" w:themeFillShade="F2"/>
            <w:tcW w:w="1855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36,08535422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shd w:val="clear" w:color="ffffff" w:fill="f2f2f2" w:themeFill="background1" w:themeFillShade="F2"/>
            <w:tcW w:w="1535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36,08535422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shd w:val="clear" w:color="ffffff" w:fill="f2f2f2" w:themeFill="background1" w:themeFillShade="F2"/>
            <w:tcW w:w="1940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6,71563096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shd w:val="clear" w:color="ffffff" w:fill="f2f2f2" w:themeFill="background1" w:themeFillShade="F2"/>
            <w:tcW w:w="1677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6,71563096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shd w:val="clear" w:color="auto" w:fill="f2f2f2" w:themeFill="background1" w:themeFillShade="F2"/>
            <w:tcW w:w="1996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42,80098518 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shd w:val="clear" w:color="ffffff" w:fill="f2f2f2" w:themeFill="background1" w:themeFillShade="F2"/>
            <w:tcW w:w="1996" w:type="dxa"/>
            <w:textDirection w:val="lrTb"/>
            <w:noWrap w:val="false"/>
          </w:tcPr>
          <w:p>
            <w:pPr>
              <w:pStyle w:val="829"/>
              <w:jc w:val="center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42,80098518 </w:t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  <w:highlight w:val="none"/>
        </w:rPr>
      </w:r>
      <w:r>
        <w:rPr>
          <w:rFonts w:ascii="Times New Roman" w:hAnsi="Times New Roman" w:cs="Times New Roman"/>
          <w:sz w:val="10"/>
          <w:szCs w:val="10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2002 по 2010 гг. успешно реализованы инвестиционные проекты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развитию строительства коммунальной инфраструктуры ООО «УКС «Белгородстроймонтаж», ЗАО «Жилищная проектно-строительная компания </w:t>
        <w:br/>
        <w:t xml:space="preserve">ЖБИ-3», </w:t>
      </w:r>
      <w:r>
        <w:rPr>
          <w:rFonts w:ascii="Times New Roman" w:hAnsi="Times New Roman" w:cs="Times New Roman"/>
          <w:sz w:val="28"/>
          <w:szCs w:val="28"/>
        </w:rPr>
        <w:t xml:space="preserve">ООО «Русская Традиция-Строй», ГУ</w:t>
      </w:r>
      <w:r>
        <w:rPr>
          <w:rFonts w:ascii="Times New Roman" w:hAnsi="Times New Roman" w:cs="Times New Roman"/>
          <w:sz w:val="28"/>
          <w:szCs w:val="28"/>
        </w:rPr>
        <w:t xml:space="preserve">П «Белгородский областной фонд поддержки ИЖС», ООО «Новостройзаказчик», ООО «Управляющая компания ЖБК-1», ОАО «Дирекция Юго-Западного района», ОАО «Домостроительная компания», ОАО «Дирекция жилого района «Северный»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Выдано субсидий </w:t>
        <w:br/>
        <w:t xml:space="preserve">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42,8</w:t>
      </w:r>
      <w:r>
        <w:rPr>
          <w:rFonts w:ascii="Times New Roman" w:hAnsi="Times New Roman" w:cs="Times New Roman"/>
          <w:sz w:val="28"/>
          <w:szCs w:val="28"/>
        </w:rPr>
        <w:t xml:space="preserve"> млн руб.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9"/>
        <w:ind w:firstLine="708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276" w:right="566" w:bottom="851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18"/>
    <w:next w:val="818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basedOn w:val="819"/>
    <w:link w:val="642"/>
    <w:uiPriority w:val="9"/>
    <w:rPr>
      <w:rFonts w:ascii="Arial" w:hAnsi="Arial" w:eastAsia="Arial" w:cs="Arial"/>
      <w:sz w:val="40"/>
      <w:szCs w:val="40"/>
    </w:rPr>
  </w:style>
  <w:style w:type="paragraph" w:styleId="644">
    <w:name w:val="Heading 2"/>
    <w:basedOn w:val="818"/>
    <w:next w:val="818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5">
    <w:name w:val="Heading 2 Char"/>
    <w:basedOn w:val="819"/>
    <w:link w:val="644"/>
    <w:uiPriority w:val="9"/>
    <w:rPr>
      <w:rFonts w:ascii="Arial" w:hAnsi="Arial" w:eastAsia="Arial" w:cs="Arial"/>
      <w:sz w:val="34"/>
    </w:rPr>
  </w:style>
  <w:style w:type="paragraph" w:styleId="646">
    <w:name w:val="Heading 3"/>
    <w:basedOn w:val="818"/>
    <w:next w:val="818"/>
    <w:link w:val="6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7">
    <w:name w:val="Heading 3 Char"/>
    <w:basedOn w:val="819"/>
    <w:link w:val="646"/>
    <w:uiPriority w:val="9"/>
    <w:rPr>
      <w:rFonts w:ascii="Arial" w:hAnsi="Arial" w:eastAsia="Arial" w:cs="Arial"/>
      <w:sz w:val="30"/>
      <w:szCs w:val="30"/>
    </w:rPr>
  </w:style>
  <w:style w:type="paragraph" w:styleId="648">
    <w:name w:val="Heading 4"/>
    <w:basedOn w:val="818"/>
    <w:next w:val="818"/>
    <w:link w:val="6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>
    <w:name w:val="Heading 4 Char"/>
    <w:basedOn w:val="819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818"/>
    <w:next w:val="818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>
    <w:name w:val="Heading 5 Char"/>
    <w:basedOn w:val="819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818"/>
    <w:next w:val="818"/>
    <w:link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3">
    <w:name w:val="Heading 6 Char"/>
    <w:basedOn w:val="819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>
    <w:name w:val="Heading 7"/>
    <w:basedOn w:val="818"/>
    <w:next w:val="818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7 Char"/>
    <w:basedOn w:val="819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818"/>
    <w:next w:val="818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7">
    <w:name w:val="Heading 8 Char"/>
    <w:basedOn w:val="819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>
    <w:name w:val="Heading 9"/>
    <w:basedOn w:val="818"/>
    <w:next w:val="818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>
    <w:name w:val="Heading 9 Char"/>
    <w:basedOn w:val="819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No Spacing"/>
    <w:uiPriority w:val="1"/>
    <w:qFormat/>
    <w:pPr>
      <w:spacing w:before="0" w:after="0" w:line="240" w:lineRule="auto"/>
    </w:pPr>
  </w:style>
  <w:style w:type="paragraph" w:styleId="661">
    <w:name w:val="Title"/>
    <w:basedOn w:val="818"/>
    <w:next w:val="818"/>
    <w:link w:val="6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2">
    <w:name w:val="Title Char"/>
    <w:basedOn w:val="819"/>
    <w:link w:val="661"/>
    <w:uiPriority w:val="10"/>
    <w:rPr>
      <w:sz w:val="48"/>
      <w:szCs w:val="48"/>
    </w:rPr>
  </w:style>
  <w:style w:type="paragraph" w:styleId="663">
    <w:name w:val="Subtitle"/>
    <w:basedOn w:val="818"/>
    <w:next w:val="818"/>
    <w:link w:val="664"/>
    <w:uiPriority w:val="11"/>
    <w:qFormat/>
    <w:pPr>
      <w:spacing w:before="200" w:after="200"/>
    </w:pPr>
    <w:rPr>
      <w:sz w:val="24"/>
      <w:szCs w:val="24"/>
    </w:rPr>
  </w:style>
  <w:style w:type="character" w:styleId="664">
    <w:name w:val="Subtitle Char"/>
    <w:basedOn w:val="819"/>
    <w:link w:val="663"/>
    <w:uiPriority w:val="11"/>
    <w:rPr>
      <w:sz w:val="24"/>
      <w:szCs w:val="24"/>
    </w:rPr>
  </w:style>
  <w:style w:type="paragraph" w:styleId="665">
    <w:name w:val="Quote"/>
    <w:basedOn w:val="818"/>
    <w:next w:val="818"/>
    <w:link w:val="666"/>
    <w:uiPriority w:val="29"/>
    <w:qFormat/>
    <w:pPr>
      <w:ind w:left="720" w:right="720"/>
    </w:pPr>
    <w:rPr>
      <w:i/>
    </w:rPr>
  </w:style>
  <w:style w:type="character" w:styleId="666">
    <w:name w:val="Quote Char"/>
    <w:link w:val="665"/>
    <w:uiPriority w:val="29"/>
    <w:rPr>
      <w:i/>
    </w:rPr>
  </w:style>
  <w:style w:type="paragraph" w:styleId="667">
    <w:name w:val="Intense Quote"/>
    <w:basedOn w:val="818"/>
    <w:next w:val="818"/>
    <w:link w:val="6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8">
    <w:name w:val="Intense Quote Char"/>
    <w:link w:val="667"/>
    <w:uiPriority w:val="30"/>
    <w:rPr>
      <w:i/>
    </w:rPr>
  </w:style>
  <w:style w:type="paragraph" w:styleId="669">
    <w:name w:val="Header"/>
    <w:basedOn w:val="818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Header Char"/>
    <w:basedOn w:val="819"/>
    <w:link w:val="669"/>
    <w:uiPriority w:val="99"/>
  </w:style>
  <w:style w:type="paragraph" w:styleId="671">
    <w:name w:val="Footer"/>
    <w:basedOn w:val="818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>
    <w:name w:val="Footer Char"/>
    <w:basedOn w:val="819"/>
    <w:link w:val="671"/>
    <w:uiPriority w:val="99"/>
  </w:style>
  <w:style w:type="paragraph" w:styleId="673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4">
    <w:name w:val="Caption Char"/>
    <w:basedOn w:val="673"/>
    <w:link w:val="671"/>
    <w:uiPriority w:val="99"/>
  </w:style>
  <w:style w:type="table" w:styleId="675">
    <w:name w:val="Table Grid Light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4">
    <w:name w:val="List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5">
    <w:name w:val="List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6">
    <w:name w:val="List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7">
    <w:name w:val="List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8">
    <w:name w:val="List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9">
    <w:name w:val="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 &amp; 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Bordered &amp; 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Bordered &amp; 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Bordered &amp; 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Bordered &amp; 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Bordered &amp; 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0">
    <w:name w:val="Hyperlink"/>
    <w:uiPriority w:val="99"/>
    <w:unhideWhenUsed/>
    <w:rPr>
      <w:color w:val="0000ff" w:themeColor="hyperlink"/>
      <w:u w:val="single"/>
    </w:r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basedOn w:val="819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basedOn w:val="819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qFormat/>
  </w:style>
  <w:style w:type="character" w:styleId="819" w:default="1">
    <w:name w:val="Default Paragraph Font"/>
    <w:uiPriority w:val="1"/>
    <w:semiHidden/>
    <w:unhideWhenUsed/>
  </w:style>
  <w:style w:type="table" w:styleId="8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1" w:default="1">
    <w:name w:val="No List"/>
    <w:uiPriority w:val="99"/>
    <w:semiHidden/>
    <w:unhideWhenUsed/>
  </w:style>
  <w:style w:type="table" w:styleId="822">
    <w:name w:val="Table Grid"/>
    <w:basedOn w:val="82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23">
    <w:name w:val="Balloon Text"/>
    <w:basedOn w:val="818"/>
    <w:link w:val="82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24" w:customStyle="1">
    <w:name w:val="Текст выноски Знак"/>
    <w:basedOn w:val="819"/>
    <w:link w:val="823"/>
    <w:uiPriority w:val="99"/>
    <w:semiHidden/>
    <w:rPr>
      <w:rFonts w:ascii="Tahoma" w:hAnsi="Tahoma" w:cs="Tahoma"/>
      <w:sz w:val="16"/>
      <w:szCs w:val="16"/>
    </w:rPr>
  </w:style>
  <w:style w:type="paragraph" w:styleId="825">
    <w:name w:val="List Paragraph"/>
    <w:basedOn w:val="818"/>
    <w:uiPriority w:val="34"/>
    <w:qFormat/>
    <w:pPr>
      <w:contextualSpacing/>
      <w:ind w:left="720"/>
    </w:pPr>
  </w:style>
  <w:style w:type="paragraph" w:styleId="826">
    <w:name w:val="Body Text Indent 2"/>
    <w:basedOn w:val="818"/>
    <w:link w:val="827"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27" w:customStyle="1">
    <w:name w:val="Основной текст с отступом 2 Знак"/>
    <w:basedOn w:val="819"/>
    <w:link w:val="82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8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29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30" w:customStyle="1">
    <w:name w:val="ConsPlusCell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831" w:customStyle="1">
    <w:name w:val="ConsPlusTextList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</dc:creator>
  <cp:revision>19</cp:revision>
  <dcterms:created xsi:type="dcterms:W3CDTF">2022-09-26T12:56:00Z</dcterms:created>
  <dcterms:modified xsi:type="dcterms:W3CDTF">2023-08-31T09:31:08Z</dcterms:modified>
</cp:coreProperties>
</file>