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ind w:left="0" w:right="0" w:firstLine="0"/>
        <w:jc w:val="center"/>
        <w:spacing w:before="300" w:after="150" w:line="240" w:lineRule="auto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/>
          <w:color w:val="000000" w:themeColor="text1"/>
          <w:sz w:val="32"/>
          <w:szCs w:val="32"/>
        </w:rPr>
        <w:t xml:space="preserve"> Расчет затрат</w:t>
      </w:r>
      <w:r/>
    </w:p>
    <w:p>
      <w:pPr>
        <w:pStyle w:val="658"/>
        <w:ind w:left="0" w:right="0" w:firstLine="0"/>
        <w:jc w:val="center"/>
        <w:spacing w:before="300" w:after="150" w:line="240" w:lineRule="auto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 w:themeColor="text1"/>
          <w:sz w:val="28"/>
          <w:szCs w:val="28"/>
        </w:rPr>
        <w:t xml:space="preserve">предприятий – производителей мясной продукции</w:t>
      </w:r>
      <w:r>
        <w:rPr>
          <w:rFonts w:ascii="Times New Roman" w:hAnsi="Times New Roman" w:eastAsia="PT Sans" w:cs="Times New Roman"/>
          <w:b/>
          <w:bCs/>
          <w:color w:val="4a4a4a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 получение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сертификата соответствия требованиям безопасности выпускаемой продукции.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8"/>
        <w:jc w:val="both"/>
        <w:spacing w:before="0" w:after="240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color w:val="000000" w:themeColor="text1"/>
          <w:sz w:val="26"/>
          <w:szCs w:val="26"/>
        </w:rPr>
        <w:t xml:space="preserve">Согласно п 1.4. </w:t>
      </w:r>
      <w:r>
        <w:rPr>
          <w:rFonts w:ascii="Times New Roman" w:hAnsi="Times New Roman" w:eastAsia="TimesNewRoman" w:cs="Times New Roman"/>
          <w:color w:val="000000" w:themeColor="text1"/>
          <w:sz w:val="26"/>
          <w:szCs w:val="26"/>
        </w:rPr>
        <w:t xml:space="preserve">пос</w:t>
      </w:r>
      <w:r>
        <w:rPr>
          <w:rFonts w:ascii="Times New Roman" w:hAnsi="Times New Roman" w:eastAsia="TimesNewRoman" w:cs="Times New Roman"/>
          <w:color w:val="000000" w:themeColor="text1"/>
          <w:sz w:val="26"/>
          <w:szCs w:val="26"/>
        </w:rPr>
        <w:t xml:space="preserve">тановления главы администрации Белгородской области </w:t>
        <w:br/>
        <w:t xml:space="preserve">от 09 декабря 1999 года № 704 «О мерах по усилению контроля за деятельностью мясоперерабатывающих предприятий, цехов малой мощности и обеспечению качества </w:t>
        <w:br/>
        <w:t xml:space="preserve">и безопасности выпускаемой ими продукции»</w:t>
      </w:r>
      <w:r>
        <w:rPr>
          <w:rFonts w:ascii="Times New Roman" w:hAnsi="Times New Roman" w:eastAsia="PT Sans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открытия предприятий, цехов малой мощности по переработке сырья животного происхождения хозяйствующему субъекту необходимо получить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сертификат соответствия требованиям безопасности </w:t>
        <w:br/>
        <w:t xml:space="preserve">на выпускаемую продукцию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обязательным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проведения э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кспертизы пробной (опытной) партии продукции, ее гигиенической оценки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eastAsia="PT Sans" w:cs="Times New Roman"/>
          <w:color w:val="000000" w:themeColor="text1"/>
          <w:sz w:val="26"/>
          <w:szCs w:val="26"/>
        </w:rPr>
      </w:r>
      <w:r/>
    </w:p>
    <w:p>
      <w:pPr>
        <w:ind w:left="0" w:right="0" w:firstLine="0"/>
        <w:jc w:val="both"/>
        <w:spacing w:before="0" w:after="240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color w:val="000000" w:themeColor="text1"/>
          <w:sz w:val="26"/>
          <w:szCs w:val="26"/>
        </w:rPr>
        <w:t xml:space="preserve">Процесс сертификации мясной продукции включает в себя ряд этапов: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color w:val="000000" w:themeColor="text1"/>
          <w:sz w:val="26"/>
          <w:szCs w:val="26"/>
        </w:rPr>
        <w:t xml:space="preserve">1. Подготовка документации:</w:t>
      </w:r>
      <w:r>
        <w:rPr>
          <w:rFonts w:ascii="Times New Roman" w:hAnsi="Times New Roman" w:eastAsia="PT Sans" w:cs="Times New Roman"/>
          <w:color w:val="000000" w:themeColor="text1"/>
          <w:sz w:val="26"/>
          <w:szCs w:val="26"/>
        </w:rPr>
        <w:t xml:space="preserve"> На этом этапе производитель предоставляет необходимую документацию: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/>
    </w:p>
    <w:p>
      <w:pPr>
        <w:pStyle w:val="838"/>
        <w:numPr>
          <w:ilvl w:val="0"/>
          <w:numId w:val="5"/>
        </w:numPr>
        <w:ind w:left="0" w:right="0" w:firstLine="0"/>
        <w:jc w:val="both"/>
        <w:spacing w:before="0" w:after="0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color w:val="000000" w:themeColor="text1"/>
          <w:sz w:val="26"/>
          <w:szCs w:val="26"/>
          <w:highlight w:val="none"/>
        </w:rPr>
        <w:t xml:space="preserve">Заявка по установленной форме - 0,5 чел./часов</w:t>
      </w:r>
      <w:r>
        <w:rPr>
          <w:rFonts w:ascii="Times New Roman" w:hAnsi="Times New Roman" w:eastAsia="PT Sans" w:cs="Times New Roman"/>
          <w:color w:val="000000" w:themeColor="text1"/>
          <w:sz w:val="26"/>
          <w:szCs w:val="26"/>
          <w:highlight w:val="none"/>
        </w:rPr>
      </w:r>
      <w:r/>
    </w:p>
    <w:p>
      <w:pPr>
        <w:pStyle w:val="838"/>
        <w:numPr>
          <w:ilvl w:val="0"/>
          <w:numId w:val="5"/>
        </w:numPr>
        <w:ind w:left="0" w:right="0" w:firstLine="0"/>
        <w:jc w:val="both"/>
        <w:spacing w:before="0" w:after="0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color w:val="000000" w:themeColor="text1"/>
          <w:sz w:val="26"/>
          <w:szCs w:val="26"/>
          <w:highlight w:val="none"/>
        </w:rPr>
        <w:t xml:space="preserve">Копии св-ва ИНН и ОГРН и реквизиты компании-заявителя - 0,5 чел./часов</w:t>
      </w:r>
      <w:r>
        <w:rPr>
          <w:rFonts w:ascii="Times New Roman" w:hAnsi="Times New Roman" w:eastAsia="PT Sans" w:cs="Times New Roman"/>
          <w:color w:val="000000" w:themeColor="text1"/>
          <w:sz w:val="26"/>
          <w:szCs w:val="26"/>
          <w:highlight w:val="none"/>
        </w:rPr>
      </w:r>
      <w:r/>
    </w:p>
    <w:p>
      <w:pPr>
        <w:pStyle w:val="838"/>
        <w:numPr>
          <w:ilvl w:val="0"/>
          <w:numId w:val="5"/>
        </w:numPr>
        <w:ind w:left="0" w:right="0" w:firstLine="0"/>
        <w:jc w:val="both"/>
        <w:spacing w:before="0" w:after="0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color w:val="000000" w:themeColor="text1"/>
          <w:sz w:val="26"/>
          <w:szCs w:val="26"/>
          <w:highlight w:val="none"/>
        </w:rPr>
        <w:t xml:space="preserve">Документы, содержащие информацию о предприятии-производителе - </w:t>
      </w:r>
      <w:r>
        <w:rPr>
          <w:rFonts w:ascii="Times New Roman" w:hAnsi="Times New Roman" w:eastAsia="PT Sans" w:cs="Times New Roman"/>
          <w:color w:val="000000" w:themeColor="text1"/>
          <w:sz w:val="26"/>
          <w:szCs w:val="26"/>
          <w:highlight w:val="none"/>
        </w:rPr>
        <w:t xml:space="preserve">2 чел./часа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/>
    </w:p>
    <w:p>
      <w:pPr>
        <w:pStyle w:val="834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Среднемесячная заработная плата по 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Белгородской области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: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54 164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руб. </w:t>
      </w:r>
      <w:r>
        <w:rPr>
          <w:sz w:val="26"/>
          <w:szCs w:val="26"/>
        </w:rPr>
      </w:r>
      <w:r/>
    </w:p>
    <w:p>
      <w:pPr>
        <w:pStyle w:val="834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Средняя стоимость 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часа работы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: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322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,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руб.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(54164руб./21 день/8 час.)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sz w:val="26"/>
          <w:szCs w:val="26"/>
        </w:rPr>
      </w:r>
      <w:r/>
    </w:p>
    <w:p>
      <w:pPr>
        <w:pStyle w:val="834"/>
        <w:spacing w:after="0" w:line="24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Общая стоимость 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трудозатрат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: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967,2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руб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(322,4 руб.*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 чел./час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а.)</w:t>
      </w:r>
      <w:r>
        <w:rPr>
          <w:sz w:val="26"/>
          <w:szCs w:val="26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PT Sans" w:cs="Times New Roman"/>
          <w:color w:val="000000" w:themeColor="text1"/>
          <w:sz w:val="26"/>
          <w:szCs w:val="26"/>
          <w:highlight w:val="none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PT Sans" w:cs="Times New Roman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color w:val="000000" w:themeColor="text1"/>
          <w:sz w:val="26"/>
          <w:szCs w:val="26"/>
        </w:rPr>
        <w:t xml:space="preserve">2. Лабораторные испытания:</w:t>
      </w:r>
      <w:r>
        <w:rPr>
          <w:rFonts w:ascii="Times New Roman" w:hAnsi="Times New Roman" w:eastAsia="PT Sans" w:cs="Times New Roman"/>
          <w:color w:val="000000" w:themeColor="text1"/>
          <w:sz w:val="26"/>
          <w:szCs w:val="26"/>
        </w:rPr>
        <w:t xml:space="preserve"> Производится проверка образцов продукции в лабораторных условиях на соответствие установленным стандартам.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/>
    </w:p>
    <w:tbl>
      <w:tblPr>
        <w:tblStyle w:val="69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159"/>
      </w:tblGrid>
      <w:tr>
        <w:trPr>
          <w:trHeight w:val="722"/>
          <w:tblHeader/>
        </w:trPr>
        <w:tc>
          <w:tcPr>
            <w:shd w:val="clear" w:color="d2cec2" w:fill="d2cec2"/>
            <w:tcBorders>
              <w:top w:val="none" w:color="000000" w:sz="4" w:space="0"/>
              <w:left w:val="none" w:color="000000" w:sz="4" w:space="0"/>
              <w:bottom w:val="single" w:color="FFFFFF" w:sz="6" w:space="0"/>
              <w:right w:val="none" w:color="000000" w:sz="4" w:space="0"/>
            </w:tcBorders>
            <w:tcMar>
              <w:left w:w="300" w:type="dxa"/>
              <w:top w:w="150" w:type="dxa"/>
              <w:right w:w="300" w:type="dxa"/>
              <w:bottom w:w="150" w:type="dxa"/>
            </w:tcMar>
            <w:tcW w:w="804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Open Sans" w:cs="Times New Roman"/>
                <w:b/>
                <w:color w:val="000000" w:themeColor="text1"/>
                <w:spacing w:val="15"/>
                <w:sz w:val="26"/>
                <w:szCs w:val="26"/>
              </w:rPr>
              <w:t xml:space="preserve">Экспертиза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shd w:val="clear" w:color="fffcdf" w:fill="fffcdf"/>
            <w:tcBorders>
              <w:top w:val="none" w:color="000000" w:sz="4" w:space="0"/>
              <w:left w:val="none" w:color="000000" w:sz="4" w:space="0"/>
              <w:bottom w:val="single" w:color="FFFFFF" w:sz="6" w:space="0"/>
              <w:right w:val="none" w:color="000000" w:sz="4" w:space="0"/>
            </w:tcBorders>
            <w:tcMar>
              <w:left w:w="300" w:type="dxa"/>
              <w:top w:w="150" w:type="dxa"/>
              <w:right w:w="300" w:type="dxa"/>
              <w:bottom w:w="150" w:type="dxa"/>
            </w:tcMar>
            <w:tcW w:w="21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Open Sans" w:cs="Times New Roman"/>
                <w:b/>
                <w:color w:val="000000" w:themeColor="text1"/>
                <w:spacing w:val="15"/>
                <w:sz w:val="26"/>
                <w:szCs w:val="26"/>
              </w:rPr>
              <w:t xml:space="preserve">Стоимость /в рублях/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ecebeb" w:fill="ecebeb"/>
            <w:tcBorders>
              <w:top w:val="none" w:color="000000" w:sz="4" w:space="0"/>
              <w:left w:val="none" w:color="000000" w:sz="4" w:space="0"/>
              <w:bottom w:val="single" w:color="FFFFFF" w:sz="6" w:space="0"/>
              <w:right w:val="none" w:color="000000" w:sz="4" w:space="0"/>
            </w:tcBorders>
            <w:tcMar>
              <w:left w:w="300" w:type="dxa"/>
              <w:top w:w="150" w:type="dxa"/>
              <w:right w:w="300" w:type="dxa"/>
              <w:bottom w:w="150" w:type="dxa"/>
            </w:tcMar>
            <w:tcW w:w="804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Экспертиза мяса и мясных продуктов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spacing w:before="0" w:after="0" w:line="57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Органолептический метод. Органолептические показатели: цвет, вкус, запах и пр.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shd w:val="clear" w:color="fffcdf" w:fill="fffcdf"/>
            <w:tcBorders>
              <w:top w:val="none" w:color="000000" w:sz="4" w:space="0"/>
              <w:left w:val="none" w:color="000000" w:sz="4" w:space="0"/>
              <w:bottom w:val="single" w:color="FFFFFF" w:sz="6" w:space="0"/>
              <w:right w:val="none" w:color="000000" w:sz="4" w:space="0"/>
            </w:tcBorders>
            <w:tcMar>
              <w:left w:w="300" w:type="dxa"/>
              <w:top w:w="150" w:type="dxa"/>
              <w:right w:w="300" w:type="dxa"/>
              <w:bottom w:w="150" w:type="dxa"/>
            </w:tcMar>
            <w:tcW w:w="21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10 000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FFFFFF" w:sz="6" w:space="0"/>
              <w:right w:val="none" w:color="000000" w:sz="4" w:space="0"/>
            </w:tcBorders>
            <w:tcMar>
              <w:left w:w="300" w:type="dxa"/>
              <w:top w:w="150" w:type="dxa"/>
              <w:right w:w="300" w:type="dxa"/>
              <w:bottom w:w="150" w:type="dxa"/>
            </w:tcMar>
            <w:tcW w:w="804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Экспертиза мяса и мясных продуктов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spacing w:before="0" w:after="0" w:line="57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На соответствие требованиям Технического регламента Таможенного союза 021/2011 «О безопасности пищевой продукции», технического регламента Таможенного союза 034/2013 «О безопасности мяса и мясной продукции» по микробиологическим показателям и токсичным эле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ментам. Количество образца продукта для микробиологии 1 кг. (образец должен быть отобран в чистую, новую тару).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FFFFFF" w:sz="6" w:space="0"/>
              <w:right w:val="none" w:color="000000" w:sz="4" w:space="0"/>
            </w:tcBorders>
            <w:tcMar>
              <w:left w:w="300" w:type="dxa"/>
              <w:top w:w="150" w:type="dxa"/>
              <w:right w:w="300" w:type="dxa"/>
              <w:bottom w:w="150" w:type="dxa"/>
            </w:tcMar>
            <w:tcW w:w="21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25 000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ecebeb" w:fill="ecebeb"/>
            <w:tcBorders>
              <w:top w:val="none" w:color="000000" w:sz="4" w:space="0"/>
              <w:left w:val="none" w:color="000000" w:sz="4" w:space="0"/>
              <w:bottom w:val="single" w:color="FFFFFF" w:sz="6" w:space="0"/>
              <w:right w:val="none" w:color="000000" w:sz="4" w:space="0"/>
            </w:tcBorders>
            <w:tcMar>
              <w:left w:w="300" w:type="dxa"/>
              <w:top w:w="150" w:type="dxa"/>
              <w:right w:w="300" w:type="dxa"/>
              <w:bottom w:w="150" w:type="dxa"/>
            </w:tcMar>
            <w:tcW w:w="804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Анализ правильности упаковки, маркировки, хранения и транспортирования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shd w:val="clear" w:color="fffcdf" w:fill="fffcdf"/>
            <w:tcBorders>
              <w:top w:val="none" w:color="000000" w:sz="4" w:space="0"/>
              <w:left w:val="none" w:color="000000" w:sz="4" w:space="0"/>
              <w:bottom w:val="single" w:color="FFFFFF" w:sz="6" w:space="0"/>
              <w:right w:val="none" w:color="000000" w:sz="4" w:space="0"/>
            </w:tcBorders>
            <w:tcMar>
              <w:left w:w="300" w:type="dxa"/>
              <w:top w:w="150" w:type="dxa"/>
              <w:right w:w="300" w:type="dxa"/>
              <w:bottom w:w="150" w:type="dxa"/>
            </w:tcMar>
            <w:tcW w:w="21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5 000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</w:tbl>
    <w:p>
      <w:pPr>
        <w:pStyle w:val="658"/>
        <w:ind w:left="0" w:right="0" w:firstLine="0"/>
        <w:jc w:val="left"/>
        <w:spacing w:before="300" w:after="150"/>
        <w:shd w:val="clear" w:color="ffffff" w:fill="ffffff"/>
        <w:rPr>
          <w:rFonts w:ascii="Times New Roman" w:hAnsi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 w:themeColor="text1"/>
          <w:sz w:val="26"/>
          <w:szCs w:val="26"/>
        </w:rPr>
        <w:t xml:space="preserve">                                              Выезд эксперта:</w:t>
      </w: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Style w:val="69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795"/>
        <w:gridCol w:w="2409"/>
      </w:tblGrid>
      <w:tr>
        <w:trPr/>
        <w:tc>
          <w:tcPr>
            <w:shd w:val="clear" w:color="ecebeb" w:fill="ecebeb"/>
            <w:tcBorders>
              <w:top w:val="none" w:color="000000" w:sz="4" w:space="0"/>
              <w:left w:val="none" w:color="000000" w:sz="4" w:space="0"/>
              <w:bottom w:val="single" w:color="FFFFFF" w:sz="6" w:space="0"/>
              <w:right w:val="none" w:color="000000" w:sz="4" w:space="0"/>
            </w:tcBorders>
            <w:tcMar>
              <w:left w:w="300" w:type="dxa"/>
              <w:top w:w="150" w:type="dxa"/>
              <w:right w:w="300" w:type="dxa"/>
              <w:bottom w:w="150" w:type="dxa"/>
            </w:tcMar>
            <w:tcW w:w="779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Open Sans" w:cs="Times New Roman"/>
                <w:color w:val="000000" w:themeColor="text1"/>
                <w:sz w:val="26"/>
                <w:szCs w:val="26"/>
              </w:rPr>
              <w:t xml:space="preserve">По городу Белгороду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shd w:val="clear" w:color="fffcdf" w:fill="fffcdf"/>
            <w:tcBorders>
              <w:top w:val="none" w:color="000000" w:sz="4" w:space="0"/>
              <w:left w:val="none" w:color="000000" w:sz="4" w:space="0"/>
              <w:bottom w:val="single" w:color="FFFFFF" w:sz="6" w:space="0"/>
              <w:right w:val="none" w:color="000000" w:sz="4" w:space="0"/>
            </w:tcBorders>
            <w:tcMar>
              <w:left w:w="300" w:type="dxa"/>
              <w:top w:w="150" w:type="dxa"/>
              <w:right w:w="300" w:type="dxa"/>
              <w:bottom w:w="15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3 000 pуб.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ecebeb" w:fill="ecebeb"/>
            <w:tcBorders>
              <w:top w:val="none" w:color="000000" w:sz="4" w:space="0"/>
              <w:left w:val="none" w:color="000000" w:sz="4" w:space="0"/>
              <w:bottom w:val="single" w:color="FFFFFF" w:sz="6" w:space="0"/>
              <w:right w:val="none" w:color="000000" w:sz="4" w:space="0"/>
            </w:tcBorders>
            <w:tcMar>
              <w:left w:w="300" w:type="dxa"/>
              <w:top w:w="150" w:type="dxa"/>
              <w:right w:w="300" w:type="dxa"/>
              <w:bottom w:w="150" w:type="dxa"/>
            </w:tcMar>
            <w:tcW w:w="779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Open Sans" w:cs="Times New Roman"/>
                <w:color w:val="000000" w:themeColor="text1"/>
                <w:sz w:val="26"/>
                <w:szCs w:val="26"/>
              </w:rPr>
              <w:t xml:space="preserve">Белгородской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shd w:val="clear" w:color="fffcdf" w:fill="fffcdf"/>
            <w:tcBorders>
              <w:top w:val="none" w:color="000000" w:sz="4" w:space="0"/>
              <w:left w:val="none" w:color="000000" w:sz="4" w:space="0"/>
              <w:bottom w:val="single" w:color="FFFFFF" w:sz="6" w:space="0"/>
              <w:right w:val="none" w:color="000000" w:sz="4" w:space="0"/>
            </w:tcBorders>
            <w:tcMar>
              <w:left w:w="300" w:type="dxa"/>
              <w:top w:w="150" w:type="dxa"/>
              <w:right w:w="300" w:type="dxa"/>
              <w:bottom w:w="15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6"/>
                <w:szCs w:val="26"/>
              </w:rPr>
              <w:t xml:space="preserve">5 000 pуб.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</w:tbl>
    <w:p>
      <w:pPr>
        <w:ind w:left="0" w:right="0" w:firstLine="0"/>
        <w:jc w:val="both"/>
        <w:spacing w:before="0" w:after="0"/>
        <w:rPr>
          <w:rFonts w:ascii="Times New Roman" w:hAnsi="Times New Roman" w:eastAsia="PT Sans" w:cs="Times New Roman"/>
          <w:b/>
          <w:bCs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bCs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PT Sans" w:cs="Times New Roman"/>
          <w:b/>
          <w:bCs/>
          <w:color w:val="000000" w:themeColor="text1"/>
          <w:sz w:val="26"/>
          <w:szCs w:val="26"/>
          <w:highlight w:val="none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PT Sans" w:cs="Times New Roman"/>
          <w:b/>
          <w:bCs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bCs/>
          <w:color w:val="000000" w:themeColor="text1"/>
          <w:sz w:val="26"/>
          <w:szCs w:val="26"/>
          <w:highlight w:val="none"/>
        </w:rPr>
        <w:t xml:space="preserve">Общая стоимость затрат на лабораторное исследование с учетом выезда эксперта:</w:t>
      </w:r>
      <w:r>
        <w:rPr>
          <w:rFonts w:ascii="Times New Roman" w:hAnsi="Times New Roman" w:eastAsia="PT Sans" w:cs="Times New Roman"/>
          <w:b/>
          <w:bCs/>
          <w:color w:val="000000" w:themeColor="text1"/>
          <w:sz w:val="26"/>
          <w:szCs w:val="26"/>
          <w:highlight w:val="none"/>
        </w:rPr>
      </w:r>
      <w:r/>
    </w:p>
    <w:p>
      <w:pPr>
        <w:pStyle w:val="838"/>
        <w:numPr>
          <w:ilvl w:val="0"/>
          <w:numId w:val="12"/>
        </w:numPr>
        <w:ind w:left="709" w:right="0" w:hanging="709"/>
        <w:jc w:val="both"/>
        <w:spacing w:before="0" w:after="0"/>
        <w:rPr>
          <w:rFonts w:ascii="Times New Roman" w:hAnsi="Times New Roman" w:eastAsia="PT Sans" w:cs="Times New Roman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color w:val="000000" w:themeColor="text1"/>
          <w:sz w:val="26"/>
          <w:szCs w:val="26"/>
          <w:highlight w:val="none"/>
        </w:rPr>
        <w:t xml:space="preserve">Для предприятий, осуществляющих деятельность в г. Белгороде - 43 тыс. руб.</w:t>
      </w:r>
      <w:r>
        <w:rPr>
          <w:rFonts w:ascii="Times New Roman" w:hAnsi="Times New Roman" w:eastAsia="PT Sans" w:cs="Times New Roman"/>
          <w:color w:val="000000" w:themeColor="text1"/>
          <w:sz w:val="26"/>
          <w:szCs w:val="26"/>
          <w:highlight w:val="none"/>
        </w:rPr>
      </w:r>
      <w:r/>
    </w:p>
    <w:p>
      <w:pPr>
        <w:pStyle w:val="838"/>
        <w:numPr>
          <w:ilvl w:val="0"/>
          <w:numId w:val="12"/>
        </w:numPr>
        <w:ind w:left="0" w:right="0" w:firstLine="0"/>
        <w:jc w:val="both"/>
        <w:spacing w:before="0" w:after="0"/>
        <w:rPr>
          <w:rFonts w:ascii="Times New Roman" w:hAnsi="Times New Roman" w:eastAsia="PT Sans" w:cs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color w:val="000000" w:themeColor="text1"/>
          <w:sz w:val="26"/>
          <w:szCs w:val="26"/>
          <w:highlight w:val="none"/>
        </w:rPr>
        <w:t xml:space="preserve">Для предприятий, осуществляющих деятельность в Белгородской обл. - 45 тыс. руб.</w:t>
      </w:r>
      <w:r>
        <w:rPr>
          <w:rFonts w:ascii="Times New Roman" w:hAnsi="Times New Roman" w:eastAsia="PT Sans" w:cs="Times New Roman"/>
          <w:color w:val="000000"/>
          <w:sz w:val="26"/>
          <w:szCs w:val="26"/>
          <w:highlight w:val="none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color w:val="000000" w:themeColor="text1"/>
          <w:sz w:val="26"/>
          <w:szCs w:val="26"/>
        </w:rPr>
        <w:t xml:space="preserve">3. Инспекция производства:</w:t>
      </w:r>
      <w:r>
        <w:rPr>
          <w:rFonts w:ascii="Times New Roman" w:hAnsi="Times New Roman" w:eastAsia="PT Sans" w:cs="Times New Roman"/>
          <w:color w:val="000000" w:themeColor="text1"/>
          <w:sz w:val="26"/>
          <w:szCs w:val="26"/>
        </w:rPr>
        <w:t xml:space="preserve"> Эксперты проводят инспекцию на производственной площадке, оценивая технологические процессы, условия хранения и транспортировки.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PT Sans" w:cs="Times New Roman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color w:val="000000" w:themeColor="text1"/>
          <w:sz w:val="26"/>
          <w:szCs w:val="26"/>
        </w:rPr>
        <w:t xml:space="preserve">4. Оценка и выдача сертификата:</w:t>
      </w:r>
      <w:r>
        <w:rPr>
          <w:rFonts w:ascii="Times New Roman" w:hAnsi="Times New Roman" w:eastAsia="PT Sans" w:cs="Times New Roman"/>
          <w:color w:val="000000" w:themeColor="text1"/>
          <w:sz w:val="26"/>
          <w:szCs w:val="26"/>
        </w:rPr>
        <w:t xml:space="preserve"> После успешного прохождения всех этапов, производителю выдается сертификат соответствия.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/>
    </w:p>
    <w:p>
      <w:pPr>
        <w:ind w:left="0" w:right="0" w:firstLine="425"/>
        <w:jc w:val="both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bCs/>
          <w:color w:val="000000" w:themeColor="text1"/>
          <w:sz w:val="26"/>
          <w:szCs w:val="26"/>
          <w:highlight w:val="none"/>
        </w:rPr>
        <w:t xml:space="preserve">Таким образом общая стоимость затрат на получение сертификата соответствия мясной продукции может составить от 43,967 тыс. руб до 45,967 тыс. руб.</w:t>
      </w:r>
      <w:r>
        <w:rPr>
          <w:rFonts w:ascii="Times New Roman" w:hAnsi="Times New Roman" w:eastAsia="PT Sans" w:cs="Times New Roman"/>
          <w:b/>
          <w:bCs/>
          <w:color w:val="000000" w:themeColor="text1"/>
          <w:sz w:val="26"/>
          <w:szCs w:val="26"/>
          <w:highlight w:val="none"/>
        </w:rPr>
      </w:r>
      <w:r/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425" w:right="850" w:bottom="1134" w:left="992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NewRoman">
    <w:panose1 w:val="02020603050405020304"/>
  </w:font>
  <w:font w:name="Times New Roman">
    <w:panose1 w:val="020206030504050203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PT Sans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PT Sans" w:hAnsi="PT Sans" w:eastAsia="PT Sans" w:cs="PT Sans"/>
        <w:color w:val="4a4a4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PT Sans" w:hAnsi="PT Sans" w:eastAsia="PT Sans" w:cs="PT Sans"/>
        <w:color w:val="4a4a4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PT Sans" w:hAnsi="PT Sans" w:eastAsia="PT Sans" w:cs="PT Sans"/>
        <w:color w:val="4a4a4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PT Sans" w:hAnsi="PT Sans" w:eastAsia="PT Sans" w:cs="PT Sans"/>
        <w:color w:val="4a4a4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 Spacing"/>
    <w:basedOn w:val="834"/>
    <w:uiPriority w:val="1"/>
    <w:qFormat/>
    <w:pPr>
      <w:spacing w:after="0" w:line="240" w:lineRule="auto"/>
    </w:pPr>
  </w:style>
  <w:style w:type="paragraph" w:styleId="838">
    <w:name w:val="List Paragraph"/>
    <w:basedOn w:val="834"/>
    <w:uiPriority w:val="34"/>
    <w:qFormat/>
    <w:pPr>
      <w:contextualSpacing/>
      <w:ind w:left="720"/>
    </w:pPr>
  </w:style>
  <w:style w:type="character" w:styleId="839" w:default="1">
    <w:name w:val="Default Paragraph Font"/>
    <w:uiPriority w:val="1"/>
    <w:semiHidden/>
    <w:unhideWhenUsed/>
  </w:style>
  <w:style w:type="paragraph" w:styleId="84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2024-05-31T12:36:08Z</dcterms:modified>
</cp:coreProperties>
</file>