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0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развития отраслей сельского хозяйства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</w:t>
      </w:r>
      <w:r>
        <w:rPr>
          <w:rFonts w:hint="default" w:ascii="Times New Roman" w:hAnsi="Times New Roman" w:eastAsia="Calibri" w:cs="Times New Roman"/>
          <w:sz w:val="26"/>
          <w:szCs w:val="26"/>
          <w:lang w:eastAsia="ru-RU"/>
        </w:rPr>
        <w:t xml:space="preserve">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«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О внесении изменений в постановление Правительства Белгородской области от 5 ноября 2024 года № 519-пп 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«Об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утверждении Порядка 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закладку, и (или) уход, и (или) раскорчевку многолетних насаждений».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16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октября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г., окончание «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29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октября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Проект норматив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ного правового акта содержит положения, изменяющие условия предоставления субсидии из областного бюджета на условиях софинансирования расходных обязательств Белгородской области за счет средств федерального бюджета по возмещению части затрат сельскохозяйст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венных товаропроизводителей (за исключением граждан, ведущих личное подсобное хозяйство и сельскохозяйственных кредитных потребительских кооперативов), на закладку и (или) уход за многолетними насаждениями (до вступления в товарное плодоношение, но не боле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е 3 лет с момента закладки для садов интенсивного типа), включая питомники, за исключением закладки и ухода за виноградниками, в том числе на установку шпалеры и (или) противоградовой сетки (включая стоимость шпалеры и (или) стоимость противоградовой сетки</w:t>
      </w:r>
      <w:r>
        <w:rPr>
          <w:rFonts w:ascii="Times New Roman" w:hAnsi="Times New Roman" w:eastAsia="Calibri" w:cs="Times New Roman"/>
          <w:sz w:val="26"/>
          <w:szCs w:val="26"/>
        </w:rPr>
        <w:t xml:space="preserve">), и (или) раскорчевку выбывших из эксплуатации многолетних насаждений (в возрасте 20 лет и более начиная с года закладки при условии наличия у сельскохозяйственных товаропроизводителей проекта на закладку многолетних насаждений на раскорчеванной площади).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Подгорный Александр Николаевич.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bookmarkStart w:id="1" w:name="_Hlk159860577"/>
      <w:r>
        <w:rPr>
          <w:rFonts w:ascii="Times New Roman" w:hAnsi="Times New Roman" w:eastAsia="Times New Roman" w:cs="Times New Roman"/>
          <w:sz w:val="26"/>
          <w:szCs w:val="26"/>
        </w:rPr>
        <w:t xml:space="preserve">начальник отдела развития отраслей растениеводства, мелиорации и механизации департамента развития отраслей сельского хозяйства министерства сельского хозяйства и продовольствия Белгородской области</w:t>
      </w:r>
      <w:bookmarkEnd w:id="1"/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24-76-07. Адрес электронной почты: </w:t>
      </w:r>
      <w:bookmarkStart w:id="2" w:name="_Hlk159860523"/>
      <w:r>
        <w:rPr>
          <w:rFonts w:ascii="Times New Roman" w:hAnsi="Times New Roman" w:cs="Times New Roman"/>
          <w:sz w:val="26"/>
          <w:szCs w:val="26"/>
          <w:lang w:val="en-US"/>
        </w:rPr>
        <w:t xml:space="preserve">podgorny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y_an</w:t>
      </w:r>
      <w:r>
        <w:rPr>
          <w:rFonts w:ascii="Times New Roman" w:hAnsi="Times New Roman" w:cs="Times New Roman"/>
          <w:sz w:val="26"/>
          <w:szCs w:val="26"/>
        </w:rPr>
        <w:t xml:space="preserve">@bel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region</w:t>
      </w:r>
      <w:r>
        <w:rPr>
          <w:rFonts w:ascii="Times New Roman" w:hAnsi="Times New Roman" w:cs="Times New Roman"/>
          <w:sz w:val="26"/>
          <w:szCs w:val="26"/>
        </w:rPr>
        <w:t xml:space="preserve">.ru</w:t>
      </w:r>
      <w:bookmarkEnd w:id="2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- ограничение количества получателей субсидии при подведении итогов конкурсного отбора, ранжирование победителей отбора по сроку поступления заявок на получение субсидии;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 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правовой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анализ действующих положений нормативного правового акта, регулирующего порядок предоставления субсидии.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проблемы: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- низкая вероятность получения субсидии всеми сельскохозяйственными товаропроизводителями при большом количестве участников, ввиду ограниченного лимита денежных средств.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Постановление Правительства Тамбовской области от 16.02.2024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№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 80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«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Об утверждени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и Правил предоставления субсидий за счет средств федерального бюджета и бюджета Тамбовской области на возмещение (финансовое обеспечение) части затрат на закладку и (или) уход за многолетними насаждениями, включая питомники, в рамках регионального проекта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«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Развитие отраслей и техническая модернизация агропромышленного комплекса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ели вводимого правового регулирования и измеримые показатели их д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остижения: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3.1. Описание целей предлагаемого правового регулирования: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увеличение количества получателей субсидии;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 стимулирование с/х товаропроизводителей на закладку и уход за плодово-ягодными насаждениями с целью получения устойчивых и высоких урожаев сельскохозяйственных культур. 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Проект нормативного правового акта разработан в соответствии с Постановлением Правительства Российской Фед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е субсидий, юридическим лицам, индивидуальным предпринимателям, а такж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е физическим лицам - производителям товаров, работ, услуг и проведение отборов получателей указанных субсидий, в том числе грантов в форме субсидий", Государственной программой развития сельского хозяйства и регулирования рынков сельскохозяйственной продук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3.3. Сроки достижения целей предлагаемого правового регулирования:</w:t>
      </w:r>
      <w:r>
        <w:rPr>
          <w:highlight w:val="none"/>
        </w:rPr>
      </w:r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Декабрь 202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5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год.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Иная информация о целях предлагаемого правового регулирования: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Отсутствует</w:t>
      </w:r>
      <w:r>
        <w:rPr>
          <w:highlight w:val="none"/>
        </w:rPr>
      </w:r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 Описание предлагаемого правового регулирования: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4.1. Описание предлагаемого способа решения проблемы и преодоления связанных с ней негативных эффектов:</w:t>
      </w:r>
      <w:r>
        <w:rPr>
          <w:highlight w:val="none"/>
        </w:rPr>
      </w:r>
    </w:p>
    <w:p>
      <w:pPr>
        <w:ind w:left="0" w:right="1" w:firstLine="709"/>
        <w:jc w:val="both"/>
        <w:spacing w:after="0" w:line="240" w:lineRule="auto"/>
        <w:rPr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Проектом постановления Правительства Белгородской области 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вносятся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 изменения 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порядок предоставления субсидий на возмещение части затрат на поддержку пр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, в части подведения итогов отбора и определения числа получателей субсидий.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Проектом постановления предусмотрено, что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обедителями отбора признаются участники отбора, включенные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рейтинг,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сформированный Министерством по результатам ранжирования поступивших заявок, в пределах объема распределяемой субсидии, указанного в объявлении о проведении отбора.</w:t>
      </w:r>
      <w:r>
        <w:rPr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Каждому участнику отбора, включенному в рейтинг, распределяется размер субсидии, пропорциональный размеру, указанному им в заявке,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 общему размеру субсидии, запрашиваемому всеми участниками отбора, включенными в рейтинг, но не выше размера, указанного им в заявке,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 в пределах объема бюджетных средств, предусмотренного по данному направлению на соответствующий финансовый год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4.2. Альтернативные варианты решения проблемы: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 w:val="0"/>
          <w:bCs w:val="0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b w:val="0"/>
          <w:bCs w:val="0"/>
          <w:sz w:val="26"/>
          <w:szCs w:val="26"/>
          <w:highlight w:val="none"/>
          <w:lang w:val="ru-RU"/>
        </w:rPr>
        <w:t xml:space="preserve">Повторное участие сельскохозяйственных товаропроизводителей, не получивших субсидию в текущем году ввиду ограничения лимитов денежных средств с аналогичной заявочной документацией в дополнительном отборе, при наличии дополнительного финансирования. </w:t>
      </w:r>
      <w:r>
        <w:rPr>
          <w:rFonts w:hint="default" w:ascii="Times New Roman" w:hAnsi="Times New Roman" w:eastAsia="Calibri" w:cs="Times New Roman"/>
          <w:b w:val="0"/>
          <w:bCs w:val="0"/>
          <w:sz w:val="26"/>
          <w:szCs w:val="26"/>
          <w:highlight w:val="none"/>
          <w:lang w:val="ru-RU"/>
        </w:rPr>
        <w:t xml:space="preserve">При альтернативном варианте решения проблемы, заявитель понесет дополнительные трудозатраты на сбор и предоставление необходимой документации.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highlight w:val="none"/>
          <w:lang w:eastAsia="ru-RU"/>
        </w:rPr>
        <w:t xml:space="preserve">Общая стоимость дополнительных трудозатрат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highlight w:val="none"/>
          <w:lang w:eastAsia="ru-RU"/>
        </w:rPr>
        <w:t xml:space="preserve">составит более 267 тыс. рублей (расчет трудозатрат на предоставление пакета документов прилагается). </w:t>
      </w:r>
      <w:r>
        <w:rPr>
          <w:b w:val="0"/>
          <w:bCs w:val="0"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b w:val="0"/>
          <w:bCs w:val="0"/>
          <w:sz w:val="26"/>
          <w:szCs w:val="26"/>
          <w:highlight w:val="none"/>
        </w:rPr>
      </w:pPr>
      <w:r>
        <w:rPr>
          <w:rFonts w:hint="default" w:ascii="Times New Roman" w:hAnsi="Times New Roman" w:eastAsia="Calibri" w:cs="Times New Roman"/>
          <w:b w:val="0"/>
          <w:bCs w:val="0"/>
          <w:sz w:val="26"/>
          <w:szCs w:val="26"/>
          <w:highlight w:val="none"/>
          <w:lang w:val="ru-RU"/>
        </w:rPr>
        <w:t xml:space="preserve">  </w:t>
      </w: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4.3. Обоснование выбора предлагаемого способа решения проблемы:</w:t>
      </w:r>
      <w:r>
        <w:rPr>
          <w:rFonts w:hint="default" w:ascii="Times New Roman" w:hAnsi="Times New Roman" w:eastAsia="Calibri" w:cs="Times New Roman"/>
          <w:b w:val="0"/>
          <w:bCs w:val="0"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iCs/>
          <w:sz w:val="26"/>
          <w:szCs w:val="26"/>
          <w:highlight w:val="none"/>
        </w:rPr>
        <w:t xml:space="preserve">Оптимальным способом решения проблемы является </w:t>
      </w:r>
      <w:r>
        <w:rPr>
          <w:rFonts w:ascii="Times New Roman" w:hAnsi="Times New Roman" w:eastAsia="Calibri" w:cs="Times New Roman"/>
          <w:iCs/>
          <w:sz w:val="26"/>
          <w:szCs w:val="26"/>
          <w:highlight w:val="none"/>
          <w:lang w:val="ru-RU"/>
        </w:rPr>
        <w:t xml:space="preserve">принятие проекта постановления Правительства Белгородской области, изменяющего порядок распределения субсидии, предоставляемой</w:t>
      </w:r>
      <w:r>
        <w:rPr>
          <w:rFonts w:hint="default" w:ascii="Times New Roman" w:hAnsi="Times New Roman" w:eastAsia="Calibri" w:cs="Times New Roman"/>
          <w:iCs/>
          <w:sz w:val="26"/>
          <w:szCs w:val="26"/>
          <w:highlight w:val="none"/>
        </w:rPr>
        <w:t xml:space="preserve"> сельскохозяйственным товаропроизводителям на возмещение части затрат на закладку, уход и раскорчевку многолетних насаждений на территории области.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Данное нормативное правовое регулирование позволит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оказать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государственную поддержку всем сельскохозяйственным товаропроизводителям, прошедшим отбор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sz w:val="20"/>
          <w:szCs w:val="20"/>
          <w:highlight w:val="none"/>
        </w:rPr>
      </w:r>
      <w:r>
        <w:rPr>
          <w:highlight w:val="none"/>
        </w:rPr>
      </w:r>
    </w:p>
    <w:tbl>
      <w:tblPr>
        <w:tblStyle w:val="645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Группа участников отношений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Оценка количества участников отношений</w:t>
            </w:r>
            <w:r>
              <w:rPr>
                <w:highlight w:val="none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highlight w:val="none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highlight w:val="none"/>
              </w:rPr>
              <w:t xml:space="preserve">25 ед.</w:t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highlight w:val="none"/>
        </w:rPr>
      </w:r>
    </w:p>
    <w:tbl>
      <w:tblPr>
        <w:tblStyle w:val="645"/>
        <w:tblpPr w:horzAnchor="margin" w:tblpXSpec="left" w:vertAnchor="text" w:tblpY="6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4110"/>
        <w:gridCol w:w="314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Группа участников отношений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Оценка изменения расходов/доходов,</w:t>
            </w:r>
            <w:r>
              <w:rPr>
                <w:highlight w:val="none"/>
              </w:rPr>
            </w:r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издержек/выгод,</w:t>
            </w:r>
            <w:r>
              <w:rPr>
                <w:highlight w:val="none"/>
              </w:rPr>
            </w:r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тыс. руб.</w:t>
            </w:r>
            <w:r>
              <w:rPr>
                <w:highlight w:val="none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pStyle w:val="665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highlight w:val="none"/>
                <w:lang w:eastAsia="en-US"/>
              </w:rPr>
              <w:t xml:space="preserve">Преимущества:</w:t>
            </w:r>
            <w:r>
              <w:rPr>
                <w:highlight w:val="none"/>
              </w:rPr>
            </w:r>
          </w:p>
          <w:p>
            <w:pPr>
              <w:pStyle w:val="665"/>
              <w:spacing w:before="0" w:beforeAutospacing="0" w:after="0" w:afterAutospacing="0"/>
              <w:rPr>
                <w:rFonts w:eastAsia="Calibri"/>
                <w:bCs/>
                <w:sz w:val="20"/>
                <w:szCs w:val="20"/>
                <w:highlight w:val="none"/>
              </w:rPr>
            </w:pPr>
            <w:r>
              <w:rPr>
                <w:rFonts w:eastAsia="Calibri"/>
                <w:bCs/>
                <w:sz w:val="20"/>
                <w:szCs w:val="20"/>
                <w:highlight w:val="non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none"/>
              </w:rPr>
              <w:t xml:space="preserve">Возможность получения </w:t>
            </w:r>
            <w:r>
              <w:rPr>
                <w:rFonts w:eastAsia="Calibri"/>
                <w:sz w:val="20"/>
                <w:szCs w:val="20"/>
                <w:highlight w:val="none"/>
                <w:lang w:val="ru-RU"/>
              </w:rPr>
              <w:t xml:space="preserve">всеми</w:t>
            </w:r>
            <w:r>
              <w:rPr>
                <w:rFonts w:hint="default" w:eastAsia="Calibri"/>
                <w:sz w:val="20"/>
                <w:szCs w:val="20"/>
                <w:highlight w:val="none"/>
                <w:lang w:val="ru-RU"/>
              </w:rPr>
              <w:t xml:space="preserve"> </w:t>
            </w:r>
            <w:bookmarkStart w:id="3" w:name="_GoBack"/>
            <w:r>
              <w:rPr>
                <w:highlight w:val="none"/>
              </w:rPr>
            </w:r>
            <w:bookmarkEnd w:id="3"/>
            <w:r>
              <w:rPr>
                <w:rFonts w:eastAsia="Calibri"/>
                <w:sz w:val="20"/>
                <w:szCs w:val="20"/>
                <w:highlight w:val="none"/>
              </w:rPr>
              <w:t xml:space="preserve">сельскохозяйственными товаропроизводителями субсидий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4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highlight w:val="none"/>
              </w:rPr>
              <w:t xml:space="preserve">Финансирование в 202</w:t>
            </w:r>
            <w:r>
              <w:rPr>
                <w:rFonts w:hint="default" w:ascii="Times New Roman" w:hAnsi="Times New Roman" w:eastAsia="Calibri" w:cs="Times New Roman"/>
                <w:bCs/>
                <w:sz w:val="20"/>
                <w:szCs w:val="20"/>
                <w:highlight w:val="none"/>
                <w:lang w:val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  <w:highlight w:val="none"/>
              </w:rPr>
              <w:t xml:space="preserve"> году будет осуществляться в виде субсидии на общую сумму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none"/>
              </w:rPr>
              <w:t xml:space="preserve">263,8 млн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highlight w:val="none"/>
              </w:rPr>
              <w:t xml:space="preserve"> руб. </w:t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  <w:t xml:space="preserve">Общая стоимость требования</w:t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  <w:t xml:space="preserve">267,7 тыс. руб.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  <w:br/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  <w:t xml:space="preserve">(4</w:t>
            </w:r>
            <w:r>
              <w:rPr>
                <w:rFonts w:hint="default"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  <w:lang w:val="ru-RU"/>
              </w:rPr>
              <w:t xml:space="preserve">5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highlight w:val="none"/>
                <w:shd w:val="clear" w:color="auto" w:fill="ffffff"/>
              </w:rPr>
              <w:t xml:space="preserve">,55 чел./часа*235,11 руб.*25 ед).</w:t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highlight w:val="none"/>
              </w:rPr>
            </w:r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pStyle w:val="665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eastAsia="Calibri"/>
                <w:b/>
                <w:bCs/>
                <w:sz w:val="20"/>
                <w:szCs w:val="20"/>
                <w:highlight w:val="none"/>
                <w:lang w:eastAsia="en-US"/>
              </w:rPr>
              <w:t xml:space="preserve">Обязанности:</w:t>
            </w:r>
            <w:r>
              <w:rPr>
                <w:highlight w:val="none"/>
              </w:rPr>
            </w:r>
          </w:p>
          <w:p>
            <w:pPr>
              <w:pStyle w:val="665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- </w:t>
            </w:r>
            <w:r>
              <w:rPr>
                <w:sz w:val="20"/>
                <w:szCs w:val="20"/>
                <w:highlight w:val="none"/>
              </w:rPr>
              <w:t xml:space="preserve"> предоставление пакета документов, необходимых для участия в конкурсном отборе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Style w:val="645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Style w:val="645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субсидии сельскохозяйственным товаропроизводителям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в 202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году будет осуществляться в виде субсидии на общую сумму                     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263,8 млн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руб.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Style w:val="645"/>
        <w:tblpPr w:horzAnchor="margin" w:tblpXSpec="left" w:vertAnchor="text" w:tblpY="18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Отсутствие заявок на участие в конкурсном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0"/>
              <w:ind w:left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объемов производства плодов и ягод на территории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Style w:val="645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финансиро- 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на официальном сайте департамента (belapk.ru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ноябрь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Мониторинг предоставленной субсидии на 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27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субсидии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tbl>
      <w:tblPr>
        <w:tblStyle w:val="645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2126"/>
        <w:gridCol w:w="1988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6" w:right="-103" w:firstLine="106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Коли-чествнное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5 лет)</w:t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1. К декабрю 202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 оказание финансовой поддержки не менее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чем двум сельскохозяйственным товаропроизводителям. 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на предоставление субсидии сельскохозяйствен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ным товаропроизводителям на 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питомники, предусмотрено в размере 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263,8 тыс. руб.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2.Увеличением объема реализуемой сельскохозяйственной продукции в течение не менее 5 лет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ind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                 202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квартал 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5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tbl>
      <w:tblPr>
        <w:tblStyle w:val="645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79"/>
        <w:gridCol w:w="466"/>
        <w:gridCol w:w="1385"/>
        <w:gridCol w:w="457"/>
        <w:gridCol w:w="457"/>
        <w:gridCol w:w="1810"/>
      </w:tblGrid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Заместитель министра области –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начальник департамента развития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отраслей сельского хозяйства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А.В. Головков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286"/>
        </w:trPr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35">
    <w:name w:val="Heading 1"/>
    <w:basedOn w:val="634"/>
    <w:next w:val="634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  <w:qFormat/>
  </w:style>
  <w:style w:type="table" w:styleId="64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6">
    <w:name w:val="footnote reference"/>
    <w:basedOn w:val="644"/>
    <w:uiPriority w:val="99"/>
    <w:unhideWhenUsed/>
    <w:qFormat/>
    <w:rPr>
      <w:vertAlign w:val="superscript"/>
    </w:rPr>
  </w:style>
  <w:style w:type="character" w:styleId="647">
    <w:name w:val="endnote reference"/>
    <w:basedOn w:val="644"/>
    <w:uiPriority w:val="99"/>
    <w:semiHidden/>
    <w:unhideWhenUsed/>
    <w:qFormat/>
    <w:rPr>
      <w:vertAlign w:val="superscript"/>
    </w:rPr>
  </w:style>
  <w:style w:type="character" w:styleId="648">
    <w:name w:val="Hyperlink"/>
    <w:basedOn w:val="644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49">
    <w:name w:val="endnote text"/>
    <w:basedOn w:val="634"/>
    <w:link w:val="828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0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1">
    <w:name w:val="footnote text"/>
    <w:basedOn w:val="634"/>
    <w:link w:val="827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2">
    <w:name w:val="toc 8"/>
    <w:basedOn w:val="634"/>
    <w:next w:val="634"/>
    <w:uiPriority w:val="39"/>
    <w:unhideWhenUsed/>
    <w:qFormat/>
    <w:pPr>
      <w:ind w:left="1984"/>
      <w:spacing w:after="57"/>
    </w:pPr>
  </w:style>
  <w:style w:type="paragraph" w:styleId="653">
    <w:name w:val="Header"/>
    <w:basedOn w:val="634"/>
    <w:link w:val="84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54">
    <w:name w:val="toc 9"/>
    <w:basedOn w:val="634"/>
    <w:next w:val="634"/>
    <w:uiPriority w:val="39"/>
    <w:unhideWhenUsed/>
    <w:qFormat/>
    <w:pPr>
      <w:ind w:left="2268"/>
      <w:spacing w:after="57"/>
    </w:pPr>
  </w:style>
  <w:style w:type="paragraph" w:styleId="655">
    <w:name w:val="toc 7"/>
    <w:basedOn w:val="634"/>
    <w:next w:val="634"/>
    <w:uiPriority w:val="39"/>
    <w:unhideWhenUsed/>
    <w:qFormat/>
    <w:pPr>
      <w:ind w:left="1701"/>
      <w:spacing w:after="57"/>
    </w:pPr>
  </w:style>
  <w:style w:type="paragraph" w:styleId="656">
    <w:name w:val="toc 1"/>
    <w:basedOn w:val="634"/>
    <w:next w:val="634"/>
    <w:uiPriority w:val="39"/>
    <w:unhideWhenUsed/>
    <w:qFormat/>
    <w:pPr>
      <w:spacing w:after="57"/>
    </w:pPr>
  </w:style>
  <w:style w:type="paragraph" w:styleId="657">
    <w:name w:val="toc 6"/>
    <w:basedOn w:val="634"/>
    <w:next w:val="634"/>
    <w:uiPriority w:val="39"/>
    <w:unhideWhenUsed/>
    <w:qFormat/>
    <w:pPr>
      <w:ind w:left="1417"/>
      <w:spacing w:after="57"/>
    </w:pPr>
  </w:style>
  <w:style w:type="paragraph" w:styleId="658">
    <w:name w:val="table of figures"/>
    <w:basedOn w:val="634"/>
    <w:next w:val="634"/>
    <w:uiPriority w:val="99"/>
    <w:unhideWhenUsed/>
    <w:qFormat/>
    <w:pPr>
      <w:spacing w:after="0"/>
    </w:pPr>
  </w:style>
  <w:style w:type="paragraph" w:styleId="659">
    <w:name w:val="toc 3"/>
    <w:basedOn w:val="634"/>
    <w:next w:val="634"/>
    <w:uiPriority w:val="39"/>
    <w:unhideWhenUsed/>
    <w:qFormat/>
    <w:pPr>
      <w:ind w:left="567"/>
      <w:spacing w:after="57"/>
    </w:pPr>
  </w:style>
  <w:style w:type="paragraph" w:styleId="660">
    <w:name w:val="toc 2"/>
    <w:basedOn w:val="634"/>
    <w:next w:val="634"/>
    <w:uiPriority w:val="39"/>
    <w:unhideWhenUsed/>
    <w:qFormat/>
    <w:pPr>
      <w:ind w:left="283"/>
      <w:spacing w:after="57"/>
    </w:pPr>
  </w:style>
  <w:style w:type="paragraph" w:styleId="661">
    <w:name w:val="toc 4"/>
    <w:basedOn w:val="634"/>
    <w:next w:val="634"/>
    <w:uiPriority w:val="39"/>
    <w:unhideWhenUsed/>
    <w:qFormat/>
    <w:pPr>
      <w:ind w:left="850"/>
      <w:spacing w:after="57"/>
    </w:pPr>
  </w:style>
  <w:style w:type="paragraph" w:styleId="662">
    <w:name w:val="toc 5"/>
    <w:basedOn w:val="634"/>
    <w:next w:val="634"/>
    <w:uiPriority w:val="39"/>
    <w:unhideWhenUsed/>
    <w:qFormat/>
    <w:pPr>
      <w:ind w:left="1134"/>
      <w:spacing w:after="57"/>
    </w:pPr>
  </w:style>
  <w:style w:type="paragraph" w:styleId="663">
    <w:name w:val="Title"/>
    <w:basedOn w:val="634"/>
    <w:next w:val="634"/>
    <w:link w:val="693"/>
    <w:uiPriority w:val="10"/>
    <w:qFormat/>
    <w:pPr>
      <w:contextualSpacing/>
      <w:spacing w:before="300"/>
    </w:pPr>
    <w:rPr>
      <w:sz w:val="48"/>
      <w:szCs w:val="48"/>
    </w:rPr>
  </w:style>
  <w:style w:type="paragraph" w:styleId="664">
    <w:name w:val="Footer"/>
    <w:basedOn w:val="634"/>
    <w:link w:val="84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5">
    <w:name w:val="Normal (Web)"/>
    <w:basedOn w:val="634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6">
    <w:name w:val="Subtitle"/>
    <w:basedOn w:val="634"/>
    <w:next w:val="634"/>
    <w:link w:val="694"/>
    <w:uiPriority w:val="11"/>
    <w:qFormat/>
    <w:pPr>
      <w:spacing w:before="200"/>
    </w:pPr>
    <w:rPr>
      <w:sz w:val="24"/>
      <w:szCs w:val="24"/>
    </w:rPr>
  </w:style>
  <w:style w:type="table" w:styleId="667">
    <w:name w:val="Table Grid"/>
    <w:basedOn w:val="645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8" w:customStyle="1">
    <w:name w:val="Heading 1 Char"/>
    <w:basedOn w:val="644"/>
    <w:uiPriority w:val="9"/>
    <w:qFormat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44"/>
    <w:uiPriority w:val="9"/>
    <w:qFormat/>
    <w:rPr>
      <w:rFonts w:ascii="Arial" w:hAnsi="Arial" w:eastAsia="Arial" w:cs="Arial"/>
      <w:sz w:val="34"/>
    </w:rPr>
  </w:style>
  <w:style w:type="character" w:styleId="670" w:customStyle="1">
    <w:name w:val="Heading 3 Char"/>
    <w:basedOn w:val="644"/>
    <w:uiPriority w:val="9"/>
    <w:qFormat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44"/>
    <w:uiPriority w:val="10"/>
    <w:qFormat/>
    <w:rPr>
      <w:sz w:val="48"/>
      <w:szCs w:val="48"/>
    </w:rPr>
  </w:style>
  <w:style w:type="character" w:styleId="678" w:customStyle="1">
    <w:name w:val="Subtitle Char"/>
    <w:basedOn w:val="644"/>
    <w:uiPriority w:val="11"/>
    <w:qFormat/>
    <w:rPr>
      <w:sz w:val="24"/>
      <w:szCs w:val="24"/>
    </w:rPr>
  </w:style>
  <w:style w:type="character" w:styleId="679" w:customStyle="1">
    <w:name w:val="Quote Char"/>
    <w:uiPriority w:val="29"/>
    <w:qFormat/>
    <w:rPr>
      <w:i/>
    </w:rPr>
  </w:style>
  <w:style w:type="character" w:styleId="680" w:customStyle="1">
    <w:name w:val="Intense Quote Char"/>
    <w:uiPriority w:val="30"/>
    <w:qFormat/>
    <w:rPr>
      <w:i/>
    </w:rPr>
  </w:style>
  <w:style w:type="character" w:styleId="681" w:customStyle="1">
    <w:name w:val="Footnote Text Char"/>
    <w:uiPriority w:val="99"/>
    <w:qFormat/>
    <w:rPr>
      <w:sz w:val="18"/>
    </w:rPr>
  </w:style>
  <w:style w:type="character" w:styleId="682" w:customStyle="1">
    <w:name w:val="Endnote Text Char"/>
    <w:uiPriority w:val="99"/>
    <w:qFormat/>
    <w:rPr>
      <w:sz w:val="20"/>
    </w:rPr>
  </w:style>
  <w:style w:type="character" w:styleId="683" w:customStyle="1">
    <w:name w:val="Заголовок 1 Знак"/>
    <w:basedOn w:val="644"/>
    <w:link w:val="635"/>
    <w:uiPriority w:val="9"/>
    <w:qFormat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44"/>
    <w:link w:val="636"/>
    <w:uiPriority w:val="9"/>
    <w:qFormat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44"/>
    <w:link w:val="637"/>
    <w:uiPriority w:val="9"/>
    <w:qFormat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44"/>
    <w:link w:val="6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44"/>
    <w:link w:val="63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44"/>
    <w:link w:val="6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44"/>
    <w:link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44"/>
    <w:link w:val="6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44"/>
    <w:link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93" w:customStyle="1">
    <w:name w:val="Заголовок Знак"/>
    <w:basedOn w:val="644"/>
    <w:link w:val="663"/>
    <w:uiPriority w:val="10"/>
    <w:qFormat/>
    <w:rPr>
      <w:sz w:val="48"/>
      <w:szCs w:val="48"/>
    </w:rPr>
  </w:style>
  <w:style w:type="character" w:styleId="694" w:customStyle="1">
    <w:name w:val="Подзаголовок Знак"/>
    <w:basedOn w:val="644"/>
    <w:link w:val="666"/>
    <w:uiPriority w:val="11"/>
    <w:qFormat/>
    <w:rPr>
      <w:sz w:val="24"/>
      <w:szCs w:val="24"/>
    </w:rPr>
  </w:style>
  <w:style w:type="paragraph" w:styleId="695">
    <w:name w:val="Quote"/>
    <w:basedOn w:val="634"/>
    <w:next w:val="634"/>
    <w:link w:val="696"/>
    <w:uiPriority w:val="29"/>
    <w:qFormat/>
    <w:pPr>
      <w:ind w:left="720" w:right="720"/>
    </w:pPr>
    <w:rPr>
      <w:i/>
    </w:rPr>
  </w:style>
  <w:style w:type="character" w:styleId="696" w:customStyle="1">
    <w:name w:val="Цитата 2 Знак"/>
    <w:link w:val="695"/>
    <w:uiPriority w:val="29"/>
    <w:qFormat/>
    <w:rPr>
      <w:i/>
    </w:rPr>
  </w:style>
  <w:style w:type="paragraph" w:styleId="697">
    <w:name w:val="Intense Quote"/>
    <w:basedOn w:val="634"/>
    <w:next w:val="634"/>
    <w:link w:val="6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 w:customStyle="1">
    <w:name w:val="Выделенная цитата Знак"/>
    <w:link w:val="697"/>
    <w:uiPriority w:val="30"/>
    <w:qFormat/>
    <w:rPr>
      <w:i/>
    </w:rPr>
  </w:style>
  <w:style w:type="character" w:styleId="699" w:customStyle="1">
    <w:name w:val="Header Char"/>
    <w:basedOn w:val="644"/>
    <w:uiPriority w:val="99"/>
    <w:qFormat/>
  </w:style>
  <w:style w:type="character" w:styleId="700" w:customStyle="1">
    <w:name w:val="Footer Char"/>
    <w:basedOn w:val="644"/>
    <w:uiPriority w:val="99"/>
    <w:qFormat/>
  </w:style>
  <w:style w:type="character" w:styleId="701" w:customStyle="1">
    <w:name w:val="Caption Char"/>
    <w:uiPriority w:val="99"/>
    <w:qFormat/>
  </w:style>
  <w:style w:type="table" w:styleId="702" w:customStyle="1">
    <w:name w:val="Table Grid Light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03" w:customStyle="1">
    <w:name w:val="Plain Table 1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 w:customStyle="1">
    <w:name w:val="Plain Table 2"/>
    <w:basedOn w:val="64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 w:customStyle="1">
    <w:name w:val="Plain Table 3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 w:customStyle="1">
    <w:name w:val="Plain Table 4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Plain Table 5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1 Light"/>
    <w:basedOn w:val="64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2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4"/>
    <w:basedOn w:val="64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 w:customStyle="1">
    <w:name w:val="Grid Table 4 - Accent 1"/>
    <w:basedOn w:val="64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1" w:customStyle="1">
    <w:name w:val="Grid Table 4 - Accent 2"/>
    <w:basedOn w:val="645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2" w:customStyle="1">
    <w:name w:val="Grid Table 4 - Accent 3"/>
    <w:basedOn w:val="64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3" w:customStyle="1">
    <w:name w:val="Grid Table 4 - Accent 4"/>
    <w:basedOn w:val="645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4" w:customStyle="1">
    <w:name w:val="Grid Table 4 - Accent 5"/>
    <w:basedOn w:val="64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5" w:customStyle="1">
    <w:name w:val="Grid Table 4 - Accent 6"/>
    <w:basedOn w:val="645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6" w:customStyle="1">
    <w:name w:val="Grid Table 5 Dark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1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2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3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4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5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6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4" w:customStyle="1">
    <w:name w:val="Grid Table 6 Colorful - Accent 1"/>
    <w:basedOn w:val="64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5" w:customStyle="1">
    <w:name w:val="Grid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6" w:customStyle="1">
    <w:name w:val="Grid Table 6 Colorful - Accent 3"/>
    <w:basedOn w:val="64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47" w:customStyle="1">
    <w:name w:val="Grid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48" w:customStyle="1">
    <w:name w:val="Grid Table 6 Colorful - Accent 5"/>
    <w:basedOn w:val="64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49" w:customStyle="1">
    <w:name w:val="Grid Table 6 Colorful - Accent 6"/>
    <w:basedOn w:val="645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0" w:customStyle="1">
    <w:name w:val="Grid Table 7 Colorful"/>
    <w:basedOn w:val="64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1"/>
    <w:basedOn w:val="645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5"/>
    <w:basedOn w:val="64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6"/>
    <w:basedOn w:val="645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"/>
    <w:basedOn w:val="64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1"/>
    <w:basedOn w:val="645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2"/>
    <w:basedOn w:val="645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3"/>
    <w:basedOn w:val="645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4"/>
    <w:basedOn w:val="645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5"/>
    <w:basedOn w:val="64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6"/>
    <w:basedOn w:val="645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2"/>
    <w:basedOn w:val="64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1" w:customStyle="1">
    <w:name w:val="List Table 3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5 Dark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6" w:customStyle="1">
    <w:name w:val="List Table 5 Dark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7" w:customStyle="1">
    <w:name w:val="List Table 5 Dark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8" w:customStyle="1">
    <w:name w:val="List Table 5 Dark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5 Dark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0" w:customStyle="1">
    <w:name w:val="List Table 5 Dark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3" w:customStyle="1">
    <w:name w:val="List Table 6 Colorful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4" w:customStyle="1">
    <w:name w:val="List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95" w:customStyle="1">
    <w:name w:val="List Table 6 Colorful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796" w:customStyle="1">
    <w:name w:val="List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List Table 6 Colorful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798" w:customStyle="1">
    <w:name w:val="List Table 6 Colorful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799" w:customStyle="1">
    <w:name w:val="List Table 7 Colorful"/>
    <w:basedOn w:val="645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1"/>
    <w:basedOn w:val="645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2"/>
    <w:basedOn w:val="64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3"/>
    <w:basedOn w:val="645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4"/>
    <w:basedOn w:val="64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5"/>
    <w:basedOn w:val="64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6"/>
    <w:basedOn w:val="645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ned - Accent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07" w:customStyle="1">
    <w:name w:val="Lined - Accent 1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08" w:customStyle="1">
    <w:name w:val="Lined - Accent 2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09" w:customStyle="1">
    <w:name w:val="Lined - Accent 3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0" w:customStyle="1">
    <w:name w:val="Lined - Accent 4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1" w:customStyle="1">
    <w:name w:val="Lined - Accent 5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2" w:customStyle="1">
    <w:name w:val="Lined - Accent 6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3" w:customStyle="1">
    <w:name w:val="Bordered &amp; Lined - Accent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4" w:customStyle="1">
    <w:name w:val="Bordered &amp; Lined - Accent 1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5" w:customStyle="1">
    <w:name w:val="Bordered &amp; Lined - Accent 2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6" w:customStyle="1">
    <w:name w:val="Bordered &amp; Lined - Accent 3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7" w:customStyle="1">
    <w:name w:val="Bordered &amp; Lined - Accent 4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Bordered &amp; Lined - Accent 5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Bordered &amp; Lined - Accent 6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"/>
    <w:basedOn w:val="645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1" w:customStyle="1">
    <w:name w:val="Bordered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2" w:customStyle="1">
    <w:name w:val="Bordered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3" w:customStyle="1">
    <w:name w:val="Bordered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4" w:customStyle="1">
    <w:name w:val="Bordered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5" w:customStyle="1">
    <w:name w:val="Bordered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6" w:customStyle="1">
    <w:name w:val="Bordered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7" w:customStyle="1">
    <w:name w:val="Текст сноски Знак"/>
    <w:link w:val="651"/>
    <w:uiPriority w:val="99"/>
    <w:qFormat/>
    <w:rPr>
      <w:sz w:val="18"/>
    </w:rPr>
  </w:style>
  <w:style w:type="character" w:styleId="828" w:customStyle="1">
    <w:name w:val="Текст концевой сноски Знак"/>
    <w:link w:val="649"/>
    <w:uiPriority w:val="99"/>
    <w:qFormat/>
    <w:rPr>
      <w:sz w:val="20"/>
    </w:rPr>
  </w:style>
  <w:style w:type="paragraph" w:styleId="829" w:customStyle="1">
    <w:name w:val="TOC Heading"/>
    <w:uiPriority w:val="39"/>
    <w:unhideWhenUsed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30" w:customStyle="1">
    <w:name w:val="ConsPlusNormal"/>
    <w:uiPriority w:val="0"/>
    <w:qFormat/>
    <w:pPr>
      <w:spacing w:after="0" w:line="240" w:lineRule="auto"/>
      <w:widowControl w:val="off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styleId="831" w:customStyle="1">
    <w:name w:val="ConsPlusNonformat"/>
    <w:uiPriority w:val="0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2" w:customStyle="1">
    <w:name w:val="ConsPlusTitle"/>
    <w:uiPriority w:val="0"/>
    <w:qFormat/>
    <w:pPr>
      <w:spacing w:after="0" w:line="240" w:lineRule="auto"/>
      <w:widowControl w:val="off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33" w:customStyle="1">
    <w:name w:val="ConsPlusCell"/>
    <w:uiPriority w:val="0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4" w:customStyle="1">
    <w:name w:val="ConsPlusDocList"/>
    <w:uiPriority w:val="0"/>
    <w:qFormat/>
    <w:pPr>
      <w:spacing w:after="0" w:line="240" w:lineRule="auto"/>
      <w:widowControl w:val="off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styleId="835" w:customStyle="1">
    <w:name w:val="ConsPlusTitlePage"/>
    <w:uiPriority w:val="0"/>
    <w:qFormat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styleId="836" w:customStyle="1">
    <w:name w:val="ConsPlusJurTerm"/>
    <w:uiPriority w:val="0"/>
    <w:qFormat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val="ru-RU" w:eastAsia="ru-RU" w:bidi="ar-SA"/>
    </w:rPr>
  </w:style>
  <w:style w:type="paragraph" w:styleId="837" w:customStyle="1">
    <w:name w:val="ConsPlusTextList"/>
    <w:uiPriority w:val="0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38" w:customStyle="1">
    <w:name w:val="Знак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39" w:customStyle="1">
    <w:name w:val="Знак1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0">
    <w:name w:val="List Paragraph"/>
    <w:basedOn w:val="634"/>
    <w:uiPriority w:val="34"/>
    <w:qFormat/>
    <w:pPr>
      <w:contextualSpacing/>
      <w:ind w:left="720"/>
    </w:pPr>
  </w:style>
  <w:style w:type="character" w:styleId="841" w:customStyle="1">
    <w:name w:val="Верхний колонтитул Знак"/>
    <w:basedOn w:val="644"/>
    <w:link w:val="653"/>
    <w:uiPriority w:val="99"/>
    <w:qFormat/>
  </w:style>
  <w:style w:type="character" w:styleId="842" w:customStyle="1">
    <w:name w:val="Нижний колонтитул Знак"/>
    <w:basedOn w:val="644"/>
    <w:link w:val="664"/>
    <w:uiPriority w:val="99"/>
    <w:qFormat/>
  </w:style>
  <w:style w:type="paragraph" w:styleId="843" w:customStyle="1">
    <w:name w:val="Знак2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numbering" w:styleId="84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49</cp:revision>
  <dcterms:created xsi:type="dcterms:W3CDTF">2024-02-27T02:24:00Z</dcterms:created>
  <dcterms:modified xsi:type="dcterms:W3CDTF">2025-10-16T11:12:33Z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