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tbl>
      <w:tblPr>
        <w:tblStyle w:val="6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Название государственной поддержки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t xml:space="preserve">Грант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 «Агротуризм» в Белгородской области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Субсидия</w:t>
            </w:r>
            <w:bookmarkStart w:id="0" w:name="_GoBack"/>
            <w:r/>
            <w:bookmarkEnd w:id="0"/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 на возмещение части затрат, </w:t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br/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связанных с приобретением имущества и выполнением работ (услуг)</w:t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br/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с целью развития сельского туризма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SimSun"/>
                <w:b/>
                <w:sz w:val="26"/>
                <w:szCs w:val="26"/>
              </w:rPr>
              <w:t xml:space="preserve">Максимальный размер предоставляемой субсидии</w:t>
            </w:r>
            <w:r/>
          </w:p>
        </w:tc>
      </w:tr>
      <w:tr>
        <w:trPr>
          <w:trHeight w:val="1786"/>
        </w:trPr>
        <w:tc>
          <w:tcPr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ascii="Times New Roman" w:hAnsi="Times New Roman" w:eastAsia="SimSun"/>
                <w:sz w:val="26"/>
                <w:szCs w:val="26"/>
                <w:lang w:val="ru-RU"/>
              </w:rPr>
              <w:t xml:space="preserve">д</w:t>
            </w:r>
            <w:r>
              <w:rPr>
                <w:rFonts w:ascii="Times New Roman" w:hAnsi="Times New Roman" w:eastAsia="SimSun"/>
                <w:sz w:val="26"/>
                <w:szCs w:val="26"/>
              </w:rPr>
              <w:t xml:space="preserve">о 10 млн. руб. включительно – при направлении на реализацию проекта развития сельского туризма собственных средств заявителя в размере не менее 25 процентов его стоимости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до 50 процентов затрат, но не более 5 млн. рублей на одного заявителя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Тип требования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Подготовка и представление документов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Подготовка и представление документов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Масштаб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3 единицы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4 единиц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Действия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 заявки на участие в отборе </w:t>
            </w:r>
            <w:r>
              <w:rPr>
                <w:rFonts w:ascii="Times New Roman" w:hAnsi="Times New Roman" w:eastAsia="SimSu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– 0,5 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 паспорта проекта развития сельского туризма – 3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письма кредитной организации и (или) выписки (справки) по банковскому счету заявителя, заверенных кредитной организацией - 1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согласия на публикацию (размещение) в информационно-телекоммуникационной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сети «Интернет» - 0,25 чел./часа;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согласия на обработку персональных данных – 0,25 чел./час;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информации администрации муниципального района или городского округа о целесообразности реализации проекта – 0,25 чел/час;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 документов, подтверждающих статус сельскохозяйственного товаропроизводителя – 0,25 чел/час;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ходатайства органа государственной власти Белгородской области, осуществляющего функции в сфере туризма – 0,25 чел/час;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справки ревизионного союза сельскохозяйственных кооперативов, подтверждающей членство кооператива в указанном союзе (в случае если заявителем является сельскохозяйственным кооперативом) – 0,25 чел/час;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правоустанавливающих (правоудостоверяющих) документов на право пользования водным объектом и (или) лесным участком (в случае, если они задействованы в реализации проекта развития сельского туризма) – 0,25 чел/час;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котором, которых планируется реализация проекта развития сельского туризма – 0,25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копию выписки из Единого государственного реестра недвижимости – 0,25 чел./часа;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 –                           1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справку налогового органа, подтверждающую отсутствие у заявителя неисполненной обязанности по уплате налогов, сборов, страховых взносов, пеней, штрафов, процентов, подлежащих уплате и превышающей 10 тыс. рублей –                      1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справку о соответствии заявителя установленным требованиям – 0,25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копию утвержденной проектной документации и копии иных утвержденных документов – 0,25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копию заключения экспертизы проектной документации и результатов инженерных изысканий – 0,25 чел./час;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заверенную органом местного самоуправления администрации му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ниципального района или городского округа выкопировку из правил землепользования и застройки или генерального плана муниципального образования, указывающие на возможность застройки земельного участка и занятия земельного участка нестационарными объектами (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в случае, если заявленный к отбору проект развития сельского туризма содержит мероприятия по застройке земельного участка, относящегося к категории земель сельскохозяйственного назначения, или занятию нестационарными объектами такого земельного участка) –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0,25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презентацию проекта в произвольной форме – 2 чел./час;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- копию выписки из Единого реестра субъектов малого и среднего предпринимательства - 0,25 чел./час.;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- копию документов, подтверждающих статус сельхозтоваропроизводителя, заверенную органом управления сельского хозяйства муниципального образования - 1 чел./час;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- копию справки государственного бюджетного учреждения в области мелиорации на территории обслуживания которого получатель государственной поддержки осуществляет деятельность - 0,25 чел./час.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копии паспорта и страховой номер индивидуального лицевого счета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заявителя - 0,25 чел./час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реестра произведенных затрат,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связанных с приобретением имущества и выполнением работ (услуг) с целью развития сельского туризма - 0,25 чел./час.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расчета размера Субсидии  подписанный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ru-RU"/>
              </w:rPr>
              <w:t xml:space="preserve">заявителем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и заверенный органом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управления агропромышленного комплекса муниципального образования Белгородской области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- 0,25 чел./час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 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информационного письма о применяемой системе налогообложения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состоянию на дату, не превышающую 30 (тридцати) календарных дней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до даты подачи документов, подписанное налоговым органом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- 0,25 чел./час.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копии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документов, подтверждающих статус сельскохозяйственного товаропроизводителя, заверенные органом управления агропромышленного комплекса муниципального образования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 - 1 чел./час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гарантийное письмо (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highlight w:val="none"/>
                <w:lang w:val="ru-RU"/>
              </w:rPr>
              <w:t xml:space="preserve">обязательство обеспечить ежегодный прирост объема реализации сельскохозяйственной продукции в размере не ниже 7 процентовв течение 2 лет с даты получения Субсидии) - 0,25 чел./час.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копии документов, подтверждающих затраты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, 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вязанные с приобретением имущества и выполнением работ (услуг) 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аверенные заявителем и скрепленные печатью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 целью развития сельского туризма - 2 чел./час.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</w:tr>
      <w:tr>
        <w:trPr/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Итого трудозатрат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13,25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чел./часов</w:t>
            </w:r>
            <w:r/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78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Итого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4,25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чел./часов</w:t>
            </w:r>
            <w:r/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gridSpan w:val="2"/>
            <w:tcW w:w="93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Среднемесячная заработная плата по Белгородской области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</w:p>
        </w:tc>
      </w:tr>
      <w:tr>
        <w:trPr/>
        <w:tc>
          <w:tcPr>
            <w:gridSpan w:val="2"/>
            <w:tcW w:w="93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Средняя стоимость часа работы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руб./21 день/8 час.) </w:t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478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Общая стоимость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15541,45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13,25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чел./час.*3 ед.)</w:t>
            </w:r>
            <w:r/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tcW w:w="478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Общая стоимость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6646,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66 руб.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4,25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чел./час.*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4 ед.)</w:t>
            </w:r>
            <w:r/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Cs w:val="0"/>
          <w:i w:val="0"/>
          <w:sz w:val="26"/>
          <w:szCs w:val="26"/>
        </w:rPr>
        <w:outlineLvl w:val="2"/>
      </w:pP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2026 году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финансирование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lang w:val="ru-RU"/>
        </w:rPr>
        <w:t xml:space="preserve">на предоставление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6"/>
          <w:szCs w:val="26"/>
          <w:lang w:val="ru-RU"/>
        </w:rPr>
        <w:t xml:space="preserve">субсидии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6"/>
          <w:szCs w:val="26"/>
          <w:lang w:val="ru-RU"/>
        </w:rPr>
        <w:t xml:space="preserve"> на возмещение части затрат,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6"/>
          <w:szCs w:val="26"/>
          <w:lang w:val="ru-RU"/>
        </w:rPr>
        <w:t xml:space="preserve">связанных с приобретением имущества и выполнением работ (услуг)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6"/>
          <w:szCs w:val="26"/>
          <w:lang w:val="ru-RU"/>
        </w:rPr>
        <w:br/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6"/>
          <w:szCs w:val="26"/>
          <w:lang w:val="ru-RU"/>
        </w:rPr>
        <w:t xml:space="preserve">с целью развития сельского туризма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6"/>
          <w:szCs w:val="26"/>
          <w:vertAlign w:val="baseline"/>
          <w:lang w:eastAsia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предусмотрено на общую сумму </w:t>
        <w:br/>
        <w:t xml:space="preserve">24 364,705 тыс.руб. в том числе из федерального бюджета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 16 568,0 тыс. руб. (68%) и 7 796,705 тыс. руб. (32%) из бюджета Белгородской области</w:t>
      </w:r>
      <w:r>
        <w:rPr>
          <w:i w:val="0"/>
          <w:iCs w:val="0"/>
          <w:sz w:val="26"/>
          <w:szCs w:val="26"/>
        </w:rPr>
        <w:t xml:space="preserve">.</w:t>
      </w:r>
      <w:r>
        <w:rPr>
          <w:rFonts w:ascii="Times New Roman" w:hAnsi="Times New Roman" w:eastAsia="Times New Roman"/>
          <w:b w:val="0"/>
          <w:bCs w:val="0"/>
          <w:i w:val="0"/>
          <w:sz w:val="26"/>
          <w:szCs w:val="26"/>
          <w:vertAlign w:val="baseline"/>
        </w:rPr>
      </w:r>
    </w:p>
    <w:p>
      <w:pPr>
        <w:spacing w:after="0" w:line="240" w:lineRule="auto"/>
        <w:rPr>
          <w:rFonts w:ascii="Times New Roman" w:hAnsi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iCs w:val="0"/>
          <w:sz w:val="26"/>
          <w:szCs w:val="26"/>
        </w:rPr>
      </w:r>
      <w:r>
        <w:rPr>
          <w:i w:val="0"/>
          <w:iCs w:val="0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uiPriority w:val="99"/>
    <w:unhideWhenUsed/>
    <w:qFormat/>
    <w:rPr>
      <w:vertAlign w:val="superscript"/>
    </w:rPr>
  </w:style>
  <w:style w:type="character" w:styleId="647">
    <w:name w:val="endnote reference"/>
    <w:uiPriority w:val="99"/>
    <w:semiHidden/>
    <w:unhideWhenUsed/>
    <w:qFormat/>
    <w:rPr>
      <w:vertAlign w:val="superscript"/>
    </w:rPr>
  </w:style>
  <w:style w:type="character" w:styleId="648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Balloon Text"/>
    <w:basedOn w:val="634"/>
    <w:link w:val="83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0">
    <w:name w:val="endnote text"/>
    <w:basedOn w:val="634"/>
    <w:link w:val="83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1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2">
    <w:name w:val="footnote text"/>
    <w:basedOn w:val="634"/>
    <w:link w:val="83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3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4">
    <w:name w:val="Header"/>
    <w:basedOn w:val="634"/>
    <w:link w:val="70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5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6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7">
    <w:name w:val="toc 1"/>
    <w:basedOn w:val="634"/>
    <w:next w:val="634"/>
    <w:uiPriority w:val="39"/>
    <w:unhideWhenUsed/>
    <w:qFormat/>
    <w:pPr>
      <w:spacing w:after="57"/>
    </w:pPr>
  </w:style>
  <w:style w:type="paragraph" w:styleId="658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59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60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1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2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3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4">
    <w:name w:val="Title"/>
    <w:basedOn w:val="634"/>
    <w:next w:val="63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5">
    <w:name w:val="Footer"/>
    <w:basedOn w:val="63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6">
    <w:name w:val="Subtitle"/>
    <w:basedOn w:val="634"/>
    <w:next w:val="634"/>
    <w:link w:val="697"/>
    <w:uiPriority w:val="11"/>
    <w:qFormat/>
    <w:pPr>
      <w:spacing w:before="200" w:after="200"/>
    </w:pPr>
    <w:rPr>
      <w:sz w:val="24"/>
      <w:szCs w:val="24"/>
    </w:rPr>
  </w:style>
  <w:style w:type="table" w:styleId="667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68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44"/>
    <w:uiPriority w:val="10"/>
    <w:qFormat/>
    <w:rPr>
      <w:sz w:val="48"/>
      <w:szCs w:val="48"/>
    </w:rPr>
  </w:style>
  <w:style w:type="character" w:styleId="678" w:customStyle="1">
    <w:name w:val="Subtitle Char"/>
    <w:basedOn w:val="644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basedOn w:val="644"/>
    <w:uiPriority w:val="99"/>
    <w:qFormat/>
  </w:style>
  <w:style w:type="character" w:styleId="682" w:customStyle="1">
    <w:name w:val="Caption Char"/>
    <w:uiPriority w:val="99"/>
    <w:qFormat/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36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3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rPr>
      <w:rFonts w:hint="default" w:ascii="Calibri" w:hAnsi="Calibri" w:eastAsia="Calibri" w:cs="Times New Roman"/>
      <w:lang w:val="ru-RU" w:eastAsia="zh-CN" w:bidi="ar-SA"/>
    </w:rPr>
  </w:style>
  <w:style w:type="character" w:styleId="696" w:customStyle="1">
    <w:name w:val="Заголовок Знак"/>
    <w:link w:val="664"/>
    <w:uiPriority w:val="10"/>
    <w:qFormat/>
    <w:rPr>
      <w:sz w:val="48"/>
      <w:szCs w:val="48"/>
    </w:rPr>
  </w:style>
  <w:style w:type="character" w:styleId="697" w:customStyle="1">
    <w:name w:val="Подзаголовок Знак"/>
    <w:link w:val="666"/>
    <w:uiPriority w:val="11"/>
    <w:qFormat/>
    <w:rPr>
      <w:sz w:val="24"/>
      <w:szCs w:val="24"/>
    </w:rPr>
  </w:style>
  <w:style w:type="paragraph" w:styleId="698">
    <w:name w:val="Quote"/>
    <w:basedOn w:val="634"/>
    <w:next w:val="63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qFormat/>
    <w:rPr>
      <w:i/>
    </w:rPr>
  </w:style>
  <w:style w:type="paragraph" w:styleId="700">
    <w:name w:val="Intense Quote"/>
    <w:basedOn w:val="634"/>
    <w:next w:val="63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qFormat/>
    <w:rPr>
      <w:i/>
    </w:rPr>
  </w:style>
  <w:style w:type="character" w:styleId="702" w:customStyle="1">
    <w:name w:val="Верхний колонтитул Знак"/>
    <w:link w:val="654"/>
    <w:uiPriority w:val="99"/>
    <w:qFormat/>
  </w:style>
  <w:style w:type="character" w:styleId="703" w:customStyle="1">
    <w:name w:val="Footer Char"/>
    <w:uiPriority w:val="99"/>
    <w:qFormat/>
  </w:style>
  <w:style w:type="character" w:styleId="704" w:customStyle="1">
    <w:name w:val="Нижний колонтитул Знак"/>
    <w:link w:val="665"/>
    <w:uiPriority w:val="99"/>
    <w:qFormat/>
  </w:style>
  <w:style w:type="table" w:styleId="705" w:customStyle="1">
    <w:name w:val="Table Grid Light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4" w:customStyle="1">
    <w:name w:val="Grid Table 4 - Accent 2"/>
    <w:uiPriority w:val="5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5" w:customStyle="1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6" w:customStyle="1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8" w:customStyle="1">
    <w:name w:val="Grid Table 6 Colorful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9" w:customStyle="1">
    <w:name w:val="Grid Table 6 Colorful - Accent 3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0" w:customStyle="1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1" w:customStyle="1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3" w:customStyle="1">
    <w:name w:val="Grid Table 7 Colorful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uiPriority w:val="99"/>
    <w:qFormat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uiPriority w:val="9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2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3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6 Colorful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6" w:customStyle="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8" w:customStyle="1">
    <w:name w:val="List Table 6 Colorful - Accent 3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9" w:customStyle="1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uiPriority w:val="99"/>
    <w:qFormat/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uiPriority w:val="99"/>
    <w:qFormat/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uiPriority w:val="99"/>
    <w:qFormat/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0" w:customStyle="1">
    <w:name w:val="Lined - Accent 1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1" w:customStyle="1">
    <w:name w:val="Lined - Accent 2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2" w:customStyle="1">
    <w:name w:val="Lined - Accent 3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3" w:customStyle="1">
    <w:name w:val="Lined - Accent 4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uiPriority w:val="99"/>
    <w:qFormat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7" w:customStyle="1">
    <w:name w:val="Bordered &amp; Lined - Accent 1"/>
    <w:uiPriority w:val="99"/>
    <w:qFormat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8" w:customStyle="1">
    <w:name w:val="Bordered &amp; Lined - Accent 2"/>
    <w:uiPriority w:val="99"/>
    <w:qFormat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9" w:customStyle="1">
    <w:name w:val="Bordered &amp; Lined - Accent 3"/>
    <w:uiPriority w:val="99"/>
    <w:qFormat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0" w:customStyle="1">
    <w:name w:val="Bordered &amp; Lined - Accent 4"/>
    <w:uiPriority w:val="99"/>
    <w:qFormat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uiPriority w:val="99"/>
    <w:qFormat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uiPriority w:val="99"/>
    <w:qFormat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4" w:customStyle="1">
    <w:name w:val="Bordered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6" w:customStyle="1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7" w:customStyle="1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 w:customStyle="1">
    <w:name w:val="Текст сноски Знак"/>
    <w:link w:val="652"/>
    <w:uiPriority w:val="99"/>
    <w:qFormat/>
    <w:rPr>
      <w:sz w:val="18"/>
    </w:rPr>
  </w:style>
  <w:style w:type="character" w:styleId="831" w:customStyle="1">
    <w:name w:val="Текст концевой сноски Знак"/>
    <w:link w:val="650"/>
    <w:uiPriority w:val="99"/>
    <w:qFormat/>
    <w:rPr>
      <w:sz w:val="20"/>
    </w:rPr>
  </w:style>
  <w:style w:type="paragraph" w:styleId="832" w:customStyle="1">
    <w:name w:val="TOC Heading"/>
    <w:uiPriority w:val="39"/>
    <w:unhideWhenUsed/>
    <w:qFormat/>
    <w:rPr>
      <w:rFonts w:hint="default" w:ascii="Calibri" w:hAnsi="Calibri" w:eastAsia="Calibri" w:cs="Times New Roman"/>
      <w:lang w:val="ru-RU" w:eastAsia="zh-CN" w:bidi="ar-SA"/>
    </w:rPr>
  </w:style>
  <w:style w:type="character" w:styleId="833" w:customStyle="1">
    <w:name w:val="Текст выноски Знак"/>
    <w:link w:val="649"/>
    <w:uiPriority w:val="99"/>
    <w:semiHidden/>
    <w:qFormat/>
    <w:rPr>
      <w:rFonts w:ascii="Segoe UI" w:hAnsi="Segoe UI" w:cs="Segoe UI"/>
      <w:sz w:val="18"/>
      <w:szCs w:val="18"/>
    </w:rPr>
  </w:style>
  <w:style w:type="numbering" w:styleId="131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5</cp:revision>
  <dcterms:created xsi:type="dcterms:W3CDTF">2025-01-24T20:13:00Z</dcterms:created>
  <dcterms:modified xsi:type="dcterms:W3CDTF">2026-02-06T08:26:02Z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